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DDE8" w14:textId="2EA57437" w:rsidR="00A6104B" w:rsidRPr="00A35634" w:rsidRDefault="00020EEF" w:rsidP="00094740">
      <w:pPr>
        <w:jc w:val="center"/>
        <w:rPr>
          <w:b/>
          <w:sz w:val="24"/>
          <w:szCs w:val="24"/>
        </w:rPr>
      </w:pPr>
      <w:r>
        <w:rPr>
          <w:b/>
          <w:sz w:val="24"/>
          <w:szCs w:val="24"/>
        </w:rPr>
        <w:t xml:space="preserve">Projet d'études et de </w:t>
      </w:r>
      <w:r w:rsidR="00713D82" w:rsidRPr="00A35634">
        <w:rPr>
          <w:b/>
          <w:sz w:val="24"/>
          <w:szCs w:val="24"/>
        </w:rPr>
        <w:t>recherche</w:t>
      </w:r>
    </w:p>
    <w:p w14:paraId="582F2710" w14:textId="77777777" w:rsidR="00713D82" w:rsidRPr="00A35634" w:rsidRDefault="00713D82" w:rsidP="00094740">
      <w:pPr>
        <w:jc w:val="center"/>
        <w:rPr>
          <w:b/>
          <w:sz w:val="24"/>
          <w:szCs w:val="24"/>
        </w:rPr>
      </w:pPr>
    </w:p>
    <w:p w14:paraId="67BAABBC" w14:textId="77777777" w:rsidR="00713D82" w:rsidRPr="00A35634" w:rsidRDefault="00713D82" w:rsidP="00094740">
      <w:pPr>
        <w:jc w:val="center"/>
        <w:rPr>
          <w:b/>
          <w:sz w:val="24"/>
          <w:szCs w:val="24"/>
        </w:rPr>
      </w:pPr>
    </w:p>
    <w:p w14:paraId="7EB84543" w14:textId="595D34AD" w:rsidR="00D10D98" w:rsidRPr="00A35634" w:rsidRDefault="00713D82" w:rsidP="00713D82">
      <w:pPr>
        <w:jc w:val="both"/>
        <w:rPr>
          <w:sz w:val="24"/>
          <w:szCs w:val="24"/>
        </w:rPr>
      </w:pPr>
      <w:r w:rsidRPr="00A35634">
        <w:rPr>
          <w:sz w:val="24"/>
          <w:szCs w:val="24"/>
          <w:u w:val="single"/>
        </w:rPr>
        <w:t>Titre du projet de recherche :</w:t>
      </w:r>
      <w:r w:rsidRPr="00A35634">
        <w:rPr>
          <w:sz w:val="24"/>
          <w:szCs w:val="24"/>
        </w:rPr>
        <w:t xml:space="preserve"> </w:t>
      </w:r>
      <w:r w:rsidR="00470034" w:rsidRPr="00A35634">
        <w:rPr>
          <w:sz w:val="24"/>
          <w:szCs w:val="24"/>
        </w:rPr>
        <w:t>E</w:t>
      </w:r>
      <w:r w:rsidR="00CD76D0" w:rsidRPr="00A35634">
        <w:rPr>
          <w:sz w:val="24"/>
          <w:szCs w:val="24"/>
        </w:rPr>
        <w:t xml:space="preserve">xister </w:t>
      </w:r>
      <w:r w:rsidR="001F06FC" w:rsidRPr="00A35634">
        <w:rPr>
          <w:sz w:val="24"/>
          <w:szCs w:val="24"/>
        </w:rPr>
        <w:t xml:space="preserve">et mourir </w:t>
      </w:r>
      <w:r w:rsidR="00CD76D0" w:rsidRPr="00A35634">
        <w:rPr>
          <w:sz w:val="24"/>
          <w:szCs w:val="24"/>
        </w:rPr>
        <w:t xml:space="preserve">aux yeux de la loi : la mort civile dans la doctrine civiliste française </w:t>
      </w:r>
      <w:r w:rsidR="00094740" w:rsidRPr="00A35634">
        <w:rPr>
          <w:sz w:val="24"/>
          <w:szCs w:val="24"/>
        </w:rPr>
        <w:t>(</w:t>
      </w:r>
      <w:r w:rsidR="00CD76D0" w:rsidRPr="00A35634">
        <w:rPr>
          <w:sz w:val="24"/>
          <w:szCs w:val="24"/>
        </w:rPr>
        <w:t>XV</w:t>
      </w:r>
      <w:r w:rsidR="00383792" w:rsidRPr="00A35634">
        <w:rPr>
          <w:sz w:val="24"/>
          <w:szCs w:val="24"/>
        </w:rPr>
        <w:t>I</w:t>
      </w:r>
      <w:r w:rsidR="00CD76D0" w:rsidRPr="00A35634">
        <w:rPr>
          <w:sz w:val="24"/>
          <w:szCs w:val="24"/>
        </w:rPr>
        <w:t>I</w:t>
      </w:r>
      <w:r w:rsidR="00CD76D0" w:rsidRPr="00A35634">
        <w:rPr>
          <w:sz w:val="24"/>
          <w:szCs w:val="24"/>
          <w:vertAlign w:val="superscript"/>
        </w:rPr>
        <w:t>e</w:t>
      </w:r>
      <w:r w:rsidR="00094740" w:rsidRPr="00A35634">
        <w:rPr>
          <w:sz w:val="24"/>
          <w:szCs w:val="24"/>
        </w:rPr>
        <w:t>-</w:t>
      </w:r>
      <w:r w:rsidR="00CD76D0" w:rsidRPr="00A35634">
        <w:rPr>
          <w:sz w:val="24"/>
          <w:szCs w:val="24"/>
        </w:rPr>
        <w:t>XIX</w:t>
      </w:r>
      <w:r w:rsidR="00CD76D0" w:rsidRPr="00A35634">
        <w:rPr>
          <w:sz w:val="24"/>
          <w:szCs w:val="24"/>
          <w:vertAlign w:val="superscript"/>
        </w:rPr>
        <w:t>e</w:t>
      </w:r>
      <w:r w:rsidR="00CD76D0" w:rsidRPr="00A35634">
        <w:rPr>
          <w:sz w:val="24"/>
          <w:szCs w:val="24"/>
        </w:rPr>
        <w:t xml:space="preserve"> siècle</w:t>
      </w:r>
      <w:r w:rsidR="00094740" w:rsidRPr="00A35634">
        <w:rPr>
          <w:sz w:val="24"/>
          <w:szCs w:val="24"/>
        </w:rPr>
        <w:t>s)</w:t>
      </w:r>
    </w:p>
    <w:p w14:paraId="7882DDB7" w14:textId="77777777" w:rsidR="00AB1DD4" w:rsidRPr="00A35634" w:rsidRDefault="00AB1DD4" w:rsidP="00713D82">
      <w:pPr>
        <w:rPr>
          <w:sz w:val="24"/>
          <w:szCs w:val="24"/>
        </w:rPr>
      </w:pPr>
    </w:p>
    <w:p w14:paraId="4F80ABF1" w14:textId="16511D23" w:rsidR="00AB1DD4" w:rsidRPr="00A35634" w:rsidRDefault="00AB1DD4" w:rsidP="00791FF7">
      <w:pPr>
        <w:spacing w:line="360" w:lineRule="auto"/>
        <w:jc w:val="both"/>
        <w:rPr>
          <w:sz w:val="24"/>
          <w:szCs w:val="24"/>
          <w:u w:val="single"/>
        </w:rPr>
      </w:pPr>
      <w:r w:rsidRPr="00A35634">
        <w:rPr>
          <w:sz w:val="24"/>
          <w:szCs w:val="24"/>
          <w:u w:val="single"/>
        </w:rPr>
        <w:t>Question de recherche</w:t>
      </w:r>
    </w:p>
    <w:p w14:paraId="779B704E" w14:textId="27926BA1" w:rsidR="00FC002B" w:rsidRPr="00A35634" w:rsidRDefault="00C52650" w:rsidP="00791FF7">
      <w:pPr>
        <w:spacing w:line="360" w:lineRule="auto"/>
        <w:jc w:val="both"/>
        <w:rPr>
          <w:color w:val="000000" w:themeColor="text1"/>
          <w:sz w:val="24"/>
          <w:szCs w:val="24"/>
          <w:lang w:val="fr-CA"/>
        </w:rPr>
      </w:pPr>
      <w:r w:rsidRPr="00A35634">
        <w:rPr>
          <w:sz w:val="24"/>
          <w:szCs w:val="24"/>
        </w:rPr>
        <w:tab/>
      </w:r>
      <w:r w:rsidR="00CA3A4A" w:rsidRPr="00A35634">
        <w:rPr>
          <w:sz w:val="24"/>
          <w:szCs w:val="24"/>
        </w:rPr>
        <w:t xml:space="preserve">Cette </w:t>
      </w:r>
      <w:r w:rsidR="00842654" w:rsidRPr="00A35634">
        <w:rPr>
          <w:sz w:val="24"/>
          <w:szCs w:val="24"/>
        </w:rPr>
        <w:t>recherche</w:t>
      </w:r>
      <w:r w:rsidR="00CA3A4A" w:rsidRPr="00A35634">
        <w:rPr>
          <w:sz w:val="24"/>
          <w:szCs w:val="24"/>
        </w:rPr>
        <w:t xml:space="preserve"> porte sur le discours des juristes</w:t>
      </w:r>
      <w:r w:rsidR="004D3EE2" w:rsidRPr="00A35634">
        <w:rPr>
          <w:sz w:val="24"/>
          <w:szCs w:val="24"/>
        </w:rPr>
        <w:t xml:space="preserve"> civilistes</w:t>
      </w:r>
      <w:r w:rsidR="00CA3A4A" w:rsidRPr="00A35634">
        <w:rPr>
          <w:sz w:val="24"/>
          <w:szCs w:val="24"/>
        </w:rPr>
        <w:t xml:space="preserve"> français sur la mort civile</w:t>
      </w:r>
      <w:r w:rsidR="00B50D78" w:rsidRPr="00A35634">
        <w:rPr>
          <w:sz w:val="24"/>
          <w:szCs w:val="24"/>
        </w:rPr>
        <w:t xml:space="preserve"> depuis le XVII</w:t>
      </w:r>
      <w:r w:rsidR="00B50D78" w:rsidRPr="00A35634">
        <w:rPr>
          <w:sz w:val="24"/>
          <w:szCs w:val="24"/>
          <w:vertAlign w:val="superscript"/>
        </w:rPr>
        <w:t>e</w:t>
      </w:r>
      <w:r w:rsidR="00B50D78" w:rsidRPr="00A35634">
        <w:rPr>
          <w:sz w:val="24"/>
          <w:szCs w:val="24"/>
        </w:rPr>
        <w:t xml:space="preserve"> siècle jusqu'à son abolition en </w:t>
      </w:r>
      <w:r w:rsidR="00CA3A4A" w:rsidRPr="00A35634">
        <w:rPr>
          <w:sz w:val="24"/>
          <w:szCs w:val="24"/>
        </w:rPr>
        <w:t xml:space="preserve">1854. </w:t>
      </w:r>
      <w:r w:rsidR="00D2189C" w:rsidRPr="00A35634">
        <w:rPr>
          <w:sz w:val="24"/>
          <w:szCs w:val="24"/>
        </w:rPr>
        <w:t>La mort civile</w:t>
      </w:r>
      <w:r w:rsidR="00482991" w:rsidRPr="00A35634">
        <w:rPr>
          <w:sz w:val="24"/>
          <w:szCs w:val="24"/>
        </w:rPr>
        <w:t xml:space="preserve"> était le corollaire en droit civil d'une condamnation p</w:t>
      </w:r>
      <w:r w:rsidR="00A6104B" w:rsidRPr="00A35634">
        <w:rPr>
          <w:sz w:val="24"/>
          <w:szCs w:val="24"/>
        </w:rPr>
        <w:t>énale à une peine capitale qui</w:t>
      </w:r>
      <w:r w:rsidR="00482991" w:rsidRPr="00A35634">
        <w:rPr>
          <w:sz w:val="24"/>
          <w:szCs w:val="24"/>
        </w:rPr>
        <w:t xml:space="preserve"> faisait perdre au condamné</w:t>
      </w:r>
      <w:r w:rsidR="008A68C6" w:rsidRPr="00A35634">
        <w:rPr>
          <w:sz w:val="24"/>
          <w:szCs w:val="24"/>
        </w:rPr>
        <w:t xml:space="preserve"> sa personnalité juridique, soit</w:t>
      </w:r>
      <w:r w:rsidR="00482991" w:rsidRPr="00A35634">
        <w:rPr>
          <w:sz w:val="24"/>
          <w:szCs w:val="24"/>
        </w:rPr>
        <w:t xml:space="preserve"> </w:t>
      </w:r>
      <w:r w:rsidR="00A6104B" w:rsidRPr="00A35634">
        <w:rPr>
          <w:sz w:val="24"/>
          <w:szCs w:val="24"/>
        </w:rPr>
        <w:t>l'entièreté de ses</w:t>
      </w:r>
      <w:r w:rsidR="00A0652A" w:rsidRPr="00A35634">
        <w:rPr>
          <w:sz w:val="24"/>
          <w:szCs w:val="24"/>
        </w:rPr>
        <w:t xml:space="preserve"> droits civ</w:t>
      </w:r>
      <w:r w:rsidR="00A6104B" w:rsidRPr="00A35634">
        <w:rPr>
          <w:sz w:val="24"/>
          <w:szCs w:val="24"/>
        </w:rPr>
        <w:t>ils</w:t>
      </w:r>
      <w:r w:rsidR="00D25B64" w:rsidRPr="00A35634">
        <w:rPr>
          <w:sz w:val="24"/>
          <w:szCs w:val="24"/>
        </w:rPr>
        <w:t xml:space="preserve"> : </w:t>
      </w:r>
      <w:r w:rsidR="00D929F6" w:rsidRPr="00A35634">
        <w:rPr>
          <w:sz w:val="24"/>
          <w:szCs w:val="24"/>
        </w:rPr>
        <w:t xml:space="preserve">perte de la propriété des </w:t>
      </w:r>
      <w:r w:rsidR="00772753" w:rsidRPr="00A35634">
        <w:rPr>
          <w:sz w:val="24"/>
          <w:szCs w:val="24"/>
        </w:rPr>
        <w:t xml:space="preserve">biens, </w:t>
      </w:r>
      <w:r w:rsidR="00D929F6" w:rsidRPr="00A35634">
        <w:rPr>
          <w:sz w:val="24"/>
          <w:szCs w:val="24"/>
        </w:rPr>
        <w:t>ouverture de la succession</w:t>
      </w:r>
      <w:r w:rsidR="00772753" w:rsidRPr="00A35634">
        <w:rPr>
          <w:sz w:val="24"/>
          <w:szCs w:val="24"/>
        </w:rPr>
        <w:t>, incapacité à disposer de</w:t>
      </w:r>
      <w:r w:rsidR="00D929F6" w:rsidRPr="00A35634">
        <w:rPr>
          <w:sz w:val="24"/>
          <w:szCs w:val="24"/>
        </w:rPr>
        <w:t>s</w:t>
      </w:r>
      <w:r w:rsidR="00772753" w:rsidRPr="00A35634">
        <w:rPr>
          <w:sz w:val="24"/>
          <w:szCs w:val="24"/>
        </w:rPr>
        <w:t xml:space="preserve"> biens, incapacité à procéder </w:t>
      </w:r>
      <w:r w:rsidR="00772753" w:rsidRPr="00A35634">
        <w:rPr>
          <w:color w:val="000000" w:themeColor="text1"/>
          <w:sz w:val="24"/>
          <w:szCs w:val="24"/>
        </w:rPr>
        <w:t>en justice, etc.</w:t>
      </w:r>
      <w:r w:rsidR="00A6104B" w:rsidRPr="00A35634">
        <w:rPr>
          <w:color w:val="000000" w:themeColor="text1"/>
          <w:sz w:val="24"/>
          <w:szCs w:val="24"/>
        </w:rPr>
        <w:t xml:space="preserve"> </w:t>
      </w:r>
      <w:r w:rsidR="00CF29FE" w:rsidRPr="00A35634">
        <w:rPr>
          <w:color w:val="000000" w:themeColor="text1"/>
          <w:sz w:val="24"/>
          <w:szCs w:val="24"/>
        </w:rPr>
        <w:t xml:space="preserve">Elle faisait également perdre la jouissance des droits civiques et politiques. </w:t>
      </w:r>
      <w:r w:rsidR="001C17A4" w:rsidRPr="00A35634">
        <w:rPr>
          <w:sz w:val="24"/>
          <w:szCs w:val="24"/>
        </w:rPr>
        <w:t xml:space="preserve">Cette étude a pour objet </w:t>
      </w:r>
      <w:r w:rsidR="00B50D78" w:rsidRPr="00A35634">
        <w:rPr>
          <w:sz w:val="24"/>
          <w:szCs w:val="24"/>
        </w:rPr>
        <w:t>la manière dont les auteurs de doctrine ont articulé cette fiction</w:t>
      </w:r>
      <w:r w:rsidR="00DB738D" w:rsidRPr="00A35634">
        <w:rPr>
          <w:sz w:val="24"/>
          <w:szCs w:val="24"/>
        </w:rPr>
        <w:t xml:space="preserve"> juridique</w:t>
      </w:r>
      <w:r w:rsidR="00B50D78" w:rsidRPr="00A35634">
        <w:rPr>
          <w:sz w:val="24"/>
          <w:szCs w:val="24"/>
        </w:rPr>
        <w:t xml:space="preserve"> grâce à laquelle un individu biologiquement vivant était considéré comme mort « aux yeux </w:t>
      </w:r>
      <w:r w:rsidR="00B50D78" w:rsidRPr="00A35634">
        <w:rPr>
          <w:color w:val="000000" w:themeColor="text1"/>
          <w:sz w:val="24"/>
          <w:szCs w:val="24"/>
        </w:rPr>
        <w:t>de la loi »</w:t>
      </w:r>
      <w:r w:rsidR="008C0A4A" w:rsidRPr="00A35634">
        <w:rPr>
          <w:rStyle w:val="Appelnotedebasdep"/>
          <w:color w:val="000000" w:themeColor="text1"/>
          <w:sz w:val="24"/>
          <w:szCs w:val="24"/>
        </w:rPr>
        <w:footnoteReference w:id="1"/>
      </w:r>
      <w:r w:rsidR="00B50D78" w:rsidRPr="00A35634">
        <w:rPr>
          <w:color w:val="000000" w:themeColor="text1"/>
          <w:sz w:val="24"/>
          <w:szCs w:val="24"/>
        </w:rPr>
        <w:t xml:space="preserve">. </w:t>
      </w:r>
      <w:r w:rsidR="00DE4D7D" w:rsidRPr="00A35634">
        <w:rPr>
          <w:color w:val="000000" w:themeColor="text1"/>
          <w:sz w:val="24"/>
          <w:szCs w:val="24"/>
        </w:rPr>
        <w:t>M</w:t>
      </w:r>
      <w:r w:rsidR="001C17A4" w:rsidRPr="00A35634">
        <w:rPr>
          <w:color w:val="000000" w:themeColor="text1"/>
          <w:sz w:val="24"/>
          <w:szCs w:val="24"/>
        </w:rPr>
        <w:t xml:space="preserve">a </w:t>
      </w:r>
      <w:r w:rsidR="001C17A4" w:rsidRPr="00A35634">
        <w:rPr>
          <w:b/>
          <w:color w:val="000000" w:themeColor="text1"/>
          <w:sz w:val="24"/>
          <w:szCs w:val="24"/>
        </w:rPr>
        <w:t>question de recherche</w:t>
      </w:r>
      <w:r w:rsidR="001C17A4" w:rsidRPr="00A35634">
        <w:rPr>
          <w:color w:val="000000" w:themeColor="text1"/>
          <w:sz w:val="24"/>
          <w:szCs w:val="24"/>
        </w:rPr>
        <w:t xml:space="preserve"> est la suivante</w:t>
      </w:r>
      <w:r w:rsidR="00A27035" w:rsidRPr="00A35634">
        <w:rPr>
          <w:color w:val="000000" w:themeColor="text1"/>
          <w:sz w:val="24"/>
          <w:szCs w:val="24"/>
        </w:rPr>
        <w:t> : comment le discours des</w:t>
      </w:r>
      <w:r w:rsidR="001C17A4" w:rsidRPr="00A35634">
        <w:rPr>
          <w:color w:val="000000" w:themeColor="text1"/>
          <w:sz w:val="24"/>
          <w:szCs w:val="24"/>
        </w:rPr>
        <w:t xml:space="preserve"> juristes civilistes français</w:t>
      </w:r>
      <w:r w:rsidR="00A27035" w:rsidRPr="00A35634">
        <w:rPr>
          <w:color w:val="000000" w:themeColor="text1"/>
          <w:sz w:val="24"/>
          <w:szCs w:val="24"/>
        </w:rPr>
        <w:t xml:space="preserve"> sur la mort civile a-t-il participé à la </w:t>
      </w:r>
      <w:r w:rsidR="00565ED9" w:rsidRPr="00A35634">
        <w:rPr>
          <w:color w:val="000000" w:themeColor="text1"/>
          <w:sz w:val="24"/>
          <w:szCs w:val="24"/>
        </w:rPr>
        <w:t>définition</w:t>
      </w:r>
      <w:r w:rsidR="00A27035" w:rsidRPr="00A35634">
        <w:rPr>
          <w:color w:val="000000" w:themeColor="text1"/>
          <w:sz w:val="24"/>
          <w:szCs w:val="24"/>
        </w:rPr>
        <w:t xml:space="preserve"> juridique de la personne</w:t>
      </w:r>
      <w:r w:rsidR="00565ED9" w:rsidRPr="00A35634">
        <w:rPr>
          <w:color w:val="000000" w:themeColor="text1"/>
          <w:sz w:val="24"/>
          <w:szCs w:val="24"/>
        </w:rPr>
        <w:t xml:space="preserve"> et </w:t>
      </w:r>
      <w:r w:rsidR="00C90797" w:rsidRPr="00A35634">
        <w:rPr>
          <w:color w:val="000000" w:themeColor="text1"/>
          <w:sz w:val="24"/>
          <w:szCs w:val="24"/>
        </w:rPr>
        <w:t>de</w:t>
      </w:r>
      <w:r w:rsidR="00166EEA" w:rsidRPr="00A35634">
        <w:rPr>
          <w:color w:val="000000" w:themeColor="text1"/>
          <w:sz w:val="24"/>
          <w:szCs w:val="24"/>
        </w:rPr>
        <w:t xml:space="preserve"> son</w:t>
      </w:r>
      <w:r w:rsidR="00177541" w:rsidRPr="00A35634">
        <w:rPr>
          <w:color w:val="000000" w:themeColor="text1"/>
          <w:sz w:val="24"/>
          <w:szCs w:val="24"/>
        </w:rPr>
        <w:t xml:space="preserve"> appartenance à </w:t>
      </w:r>
      <w:r w:rsidR="00E5565E" w:rsidRPr="00A35634">
        <w:rPr>
          <w:color w:val="000000" w:themeColor="text1"/>
          <w:sz w:val="24"/>
          <w:szCs w:val="24"/>
        </w:rPr>
        <w:t>la</w:t>
      </w:r>
      <w:r w:rsidR="00177541" w:rsidRPr="00A35634">
        <w:rPr>
          <w:color w:val="000000" w:themeColor="text1"/>
          <w:sz w:val="24"/>
          <w:szCs w:val="24"/>
        </w:rPr>
        <w:t xml:space="preserve"> communauté </w:t>
      </w:r>
      <w:proofErr w:type="gramStart"/>
      <w:r w:rsidR="00177541" w:rsidRPr="00A35634">
        <w:rPr>
          <w:color w:val="000000" w:themeColor="text1"/>
          <w:sz w:val="24"/>
          <w:szCs w:val="24"/>
        </w:rPr>
        <w:t>politique</w:t>
      </w:r>
      <w:r w:rsidR="00A27035" w:rsidRPr="00A35634">
        <w:rPr>
          <w:color w:val="000000" w:themeColor="text1"/>
          <w:sz w:val="24"/>
          <w:szCs w:val="24"/>
        </w:rPr>
        <w:t>?</w:t>
      </w:r>
      <w:proofErr w:type="gramEnd"/>
      <w:r w:rsidR="00B50D78" w:rsidRPr="00A35634">
        <w:rPr>
          <w:color w:val="000000" w:themeColor="text1"/>
          <w:sz w:val="24"/>
          <w:szCs w:val="24"/>
        </w:rPr>
        <w:t xml:space="preserve"> </w:t>
      </w:r>
      <w:r w:rsidR="00AD778B" w:rsidRPr="00A35634">
        <w:rPr>
          <w:color w:val="000000" w:themeColor="text1"/>
          <w:sz w:val="24"/>
          <w:szCs w:val="24"/>
        </w:rPr>
        <w:t>Il s'agira d'expliquer comment les</w:t>
      </w:r>
      <w:r w:rsidR="00CA3A4A" w:rsidRPr="00A35634">
        <w:rPr>
          <w:color w:val="000000" w:themeColor="text1"/>
          <w:sz w:val="24"/>
          <w:szCs w:val="24"/>
        </w:rPr>
        <w:t xml:space="preserve"> </w:t>
      </w:r>
      <w:r w:rsidR="00D25B64" w:rsidRPr="00A35634">
        <w:rPr>
          <w:color w:val="000000" w:themeColor="text1"/>
          <w:sz w:val="24"/>
          <w:szCs w:val="24"/>
        </w:rPr>
        <w:t>auteurs de doctrine</w:t>
      </w:r>
      <w:r w:rsidR="00606CC3" w:rsidRPr="00A35634">
        <w:rPr>
          <w:color w:val="000000" w:themeColor="text1"/>
          <w:sz w:val="24"/>
          <w:szCs w:val="24"/>
        </w:rPr>
        <w:t xml:space="preserve"> </w:t>
      </w:r>
      <w:r w:rsidR="00772753" w:rsidRPr="00A35634">
        <w:rPr>
          <w:color w:val="000000" w:themeColor="text1"/>
          <w:sz w:val="24"/>
          <w:szCs w:val="24"/>
        </w:rPr>
        <w:t>ont « </w:t>
      </w:r>
      <w:r w:rsidR="003635F3" w:rsidRPr="00A35634">
        <w:rPr>
          <w:color w:val="000000" w:themeColor="text1"/>
          <w:sz w:val="24"/>
          <w:szCs w:val="24"/>
        </w:rPr>
        <w:t>étoffé</w:t>
      </w:r>
      <w:r w:rsidR="00772753" w:rsidRPr="00A35634">
        <w:rPr>
          <w:color w:val="000000" w:themeColor="text1"/>
          <w:sz w:val="24"/>
          <w:szCs w:val="24"/>
        </w:rPr>
        <w:t> »</w:t>
      </w:r>
      <w:r w:rsidR="000D361D" w:rsidRPr="00A35634">
        <w:rPr>
          <w:color w:val="000000" w:themeColor="text1"/>
          <w:sz w:val="24"/>
          <w:szCs w:val="24"/>
        </w:rPr>
        <w:t xml:space="preserve"> </w:t>
      </w:r>
      <w:r w:rsidR="003635F3" w:rsidRPr="00A35634">
        <w:rPr>
          <w:sz w:val="24"/>
          <w:szCs w:val="24"/>
        </w:rPr>
        <w:t xml:space="preserve">la définition de la mort civile, renforçant ainsi </w:t>
      </w:r>
      <w:r w:rsidR="00606CC3" w:rsidRPr="00A35634">
        <w:rPr>
          <w:sz w:val="24"/>
          <w:szCs w:val="24"/>
        </w:rPr>
        <w:t xml:space="preserve">la catégorisation </w:t>
      </w:r>
      <w:r w:rsidR="000D361D" w:rsidRPr="00A35634">
        <w:rPr>
          <w:sz w:val="24"/>
          <w:szCs w:val="24"/>
        </w:rPr>
        <w:t xml:space="preserve">visant à </w:t>
      </w:r>
      <w:r w:rsidR="00704100" w:rsidRPr="00A35634">
        <w:rPr>
          <w:sz w:val="24"/>
          <w:szCs w:val="24"/>
        </w:rPr>
        <w:t>exclure</w:t>
      </w:r>
      <w:r w:rsidR="000D361D" w:rsidRPr="00A35634">
        <w:rPr>
          <w:sz w:val="24"/>
          <w:szCs w:val="24"/>
        </w:rPr>
        <w:t xml:space="preserve"> certains individus de la </w:t>
      </w:r>
      <w:r w:rsidR="000E20A1" w:rsidRPr="00A35634">
        <w:rPr>
          <w:sz w:val="24"/>
          <w:szCs w:val="24"/>
        </w:rPr>
        <w:t>communauté politique</w:t>
      </w:r>
      <w:r w:rsidR="000D361D" w:rsidRPr="00A35634">
        <w:rPr>
          <w:sz w:val="24"/>
          <w:szCs w:val="24"/>
        </w:rPr>
        <w:t xml:space="preserve"> par le bi</w:t>
      </w:r>
      <w:r w:rsidR="00B3519F" w:rsidRPr="00A35634">
        <w:rPr>
          <w:sz w:val="24"/>
          <w:szCs w:val="24"/>
        </w:rPr>
        <w:t xml:space="preserve">ais d'analogies entre la perte de </w:t>
      </w:r>
      <w:r w:rsidR="00B3519F" w:rsidRPr="00A35634">
        <w:rPr>
          <w:color w:val="000000" w:themeColor="text1"/>
          <w:sz w:val="24"/>
          <w:szCs w:val="24"/>
        </w:rPr>
        <w:t xml:space="preserve">la capacité civile et </w:t>
      </w:r>
      <w:r w:rsidR="00B3519F" w:rsidRPr="00A35634">
        <w:rPr>
          <w:sz w:val="24"/>
          <w:szCs w:val="24"/>
        </w:rPr>
        <w:t>l</w:t>
      </w:r>
      <w:r w:rsidR="00D55EBF" w:rsidRPr="00A35634">
        <w:rPr>
          <w:sz w:val="24"/>
          <w:szCs w:val="24"/>
        </w:rPr>
        <w:t>a mort</w:t>
      </w:r>
      <w:r w:rsidR="00E5565E" w:rsidRPr="00A35634">
        <w:rPr>
          <w:sz w:val="24"/>
          <w:szCs w:val="24"/>
        </w:rPr>
        <w:t xml:space="preserve"> biologique</w:t>
      </w:r>
      <w:r w:rsidR="00D929F6" w:rsidRPr="00A35634">
        <w:rPr>
          <w:sz w:val="24"/>
          <w:szCs w:val="24"/>
        </w:rPr>
        <w:t>.</w:t>
      </w:r>
      <w:r w:rsidR="00AD778B" w:rsidRPr="00A35634">
        <w:rPr>
          <w:sz w:val="24"/>
          <w:szCs w:val="24"/>
        </w:rPr>
        <w:t xml:space="preserve"> </w:t>
      </w:r>
      <w:r w:rsidR="00B45984" w:rsidRPr="00A35634">
        <w:rPr>
          <w:sz w:val="24"/>
          <w:szCs w:val="24"/>
        </w:rPr>
        <w:t>Je ne m'intéresserai donc pas seulement</w:t>
      </w:r>
      <w:r w:rsidR="00AD778B" w:rsidRPr="00A35634">
        <w:rPr>
          <w:sz w:val="24"/>
          <w:szCs w:val="24"/>
        </w:rPr>
        <w:t xml:space="preserve"> </w:t>
      </w:r>
      <w:r w:rsidR="00D929F6" w:rsidRPr="00A35634">
        <w:rPr>
          <w:sz w:val="24"/>
          <w:szCs w:val="24"/>
        </w:rPr>
        <w:t>à c</w:t>
      </w:r>
      <w:r w:rsidR="00AD778B" w:rsidRPr="00A35634">
        <w:rPr>
          <w:sz w:val="24"/>
          <w:szCs w:val="24"/>
        </w:rPr>
        <w:t xml:space="preserve">e que </w:t>
      </w:r>
      <w:r w:rsidR="00AD778B" w:rsidRPr="00A35634">
        <w:rPr>
          <w:i/>
          <w:sz w:val="24"/>
          <w:szCs w:val="24"/>
        </w:rPr>
        <w:t>disent</w:t>
      </w:r>
      <w:r w:rsidR="00AD778B" w:rsidRPr="00A35634">
        <w:rPr>
          <w:sz w:val="24"/>
          <w:szCs w:val="24"/>
        </w:rPr>
        <w:t xml:space="preserve"> les juristes lorsqu'ils décrivent les origines de la mort civile et ses conséquences</w:t>
      </w:r>
      <w:r w:rsidR="00D929F6" w:rsidRPr="00A35634">
        <w:rPr>
          <w:sz w:val="24"/>
          <w:szCs w:val="24"/>
        </w:rPr>
        <w:t>, mais aussi à ce qu</w:t>
      </w:r>
      <w:r w:rsidR="00AD778B" w:rsidRPr="00A35634">
        <w:rPr>
          <w:sz w:val="24"/>
          <w:szCs w:val="24"/>
        </w:rPr>
        <w:t>'ils</w:t>
      </w:r>
      <w:r w:rsidR="00D929F6" w:rsidRPr="00A35634">
        <w:rPr>
          <w:i/>
          <w:sz w:val="24"/>
          <w:szCs w:val="24"/>
        </w:rPr>
        <w:t xml:space="preserve"> font </w:t>
      </w:r>
      <w:r w:rsidR="00AD778B" w:rsidRPr="00A35634">
        <w:rPr>
          <w:sz w:val="24"/>
          <w:szCs w:val="24"/>
        </w:rPr>
        <w:t>lorsqu'ils l'écrivent</w:t>
      </w:r>
      <w:r w:rsidR="000A632A" w:rsidRPr="00A35634">
        <w:rPr>
          <w:sz w:val="24"/>
          <w:szCs w:val="24"/>
        </w:rPr>
        <w:t>, montrant que la pratique doctrinale peut avoir pour effet d'épaissir</w:t>
      </w:r>
      <w:r w:rsidR="000A632A" w:rsidRPr="00A35634">
        <w:rPr>
          <w:i/>
          <w:sz w:val="24"/>
          <w:szCs w:val="24"/>
        </w:rPr>
        <w:t xml:space="preserve"> </w:t>
      </w:r>
      <w:r w:rsidR="00192D4E" w:rsidRPr="00A35634">
        <w:rPr>
          <w:sz w:val="24"/>
          <w:szCs w:val="24"/>
        </w:rPr>
        <w:t>les</w:t>
      </w:r>
      <w:r w:rsidR="00D53B04" w:rsidRPr="00A35634">
        <w:rPr>
          <w:sz w:val="24"/>
          <w:szCs w:val="24"/>
        </w:rPr>
        <w:t xml:space="preserve"> norme</w:t>
      </w:r>
      <w:r w:rsidR="00192D4E" w:rsidRPr="00A35634">
        <w:rPr>
          <w:sz w:val="24"/>
          <w:szCs w:val="24"/>
        </w:rPr>
        <w:t>s</w:t>
      </w:r>
      <w:r w:rsidR="000A632A" w:rsidRPr="00A35634">
        <w:rPr>
          <w:sz w:val="24"/>
          <w:szCs w:val="24"/>
        </w:rPr>
        <w:t xml:space="preserve"> et de renforcer les</w:t>
      </w:r>
      <w:r w:rsidR="00AD778B" w:rsidRPr="00A35634">
        <w:rPr>
          <w:sz w:val="24"/>
          <w:szCs w:val="24"/>
        </w:rPr>
        <w:t xml:space="preserve"> catégories juridiques </w:t>
      </w:r>
      <w:r w:rsidR="000E654D" w:rsidRPr="00A35634">
        <w:rPr>
          <w:sz w:val="24"/>
          <w:szCs w:val="24"/>
        </w:rPr>
        <w:t xml:space="preserve">agissant comme </w:t>
      </w:r>
      <w:r w:rsidR="00B93747" w:rsidRPr="00A35634">
        <w:rPr>
          <w:sz w:val="24"/>
          <w:szCs w:val="24"/>
        </w:rPr>
        <w:t>mécanismes</w:t>
      </w:r>
      <w:r w:rsidR="000E654D" w:rsidRPr="00A35634">
        <w:rPr>
          <w:sz w:val="24"/>
          <w:szCs w:val="24"/>
        </w:rPr>
        <w:t xml:space="preserve"> </w:t>
      </w:r>
      <w:r w:rsidR="000A632A" w:rsidRPr="00A35634">
        <w:rPr>
          <w:sz w:val="24"/>
          <w:szCs w:val="24"/>
        </w:rPr>
        <w:t>d'exclusion</w:t>
      </w:r>
      <w:r w:rsidR="00BA6312" w:rsidRPr="00A35634">
        <w:rPr>
          <w:sz w:val="24"/>
          <w:szCs w:val="24"/>
        </w:rPr>
        <w:t xml:space="preserve"> sociale</w:t>
      </w:r>
      <w:r w:rsidR="000A632A" w:rsidRPr="00A35634">
        <w:rPr>
          <w:sz w:val="24"/>
          <w:szCs w:val="24"/>
        </w:rPr>
        <w:t xml:space="preserve">. </w:t>
      </w:r>
      <w:r w:rsidR="00192D4E" w:rsidRPr="00A35634">
        <w:rPr>
          <w:color w:val="000000" w:themeColor="text1"/>
          <w:sz w:val="24"/>
          <w:szCs w:val="24"/>
        </w:rPr>
        <w:t>Je soutiendrai que l</w:t>
      </w:r>
      <w:r w:rsidR="00C14BE3" w:rsidRPr="00A35634">
        <w:rPr>
          <w:color w:val="000000" w:themeColor="text1"/>
          <w:sz w:val="24"/>
          <w:szCs w:val="24"/>
        </w:rPr>
        <w:t xml:space="preserve">a </w:t>
      </w:r>
      <w:r w:rsidR="00C14BE3" w:rsidRPr="00A35634">
        <w:rPr>
          <w:sz w:val="24"/>
          <w:szCs w:val="24"/>
        </w:rPr>
        <w:t xml:space="preserve">mort civile fait partie des fictions juridiques </w:t>
      </w:r>
      <w:r w:rsidR="00713D82" w:rsidRPr="00A35634">
        <w:rPr>
          <w:sz w:val="24"/>
          <w:szCs w:val="24"/>
        </w:rPr>
        <w:t xml:space="preserve">qui, pour reprendre les mots d'un éminent juriste, </w:t>
      </w:r>
      <w:r w:rsidR="00C14BE3" w:rsidRPr="00A35634">
        <w:rPr>
          <w:sz w:val="24"/>
          <w:szCs w:val="24"/>
        </w:rPr>
        <w:t xml:space="preserve">« paraissent dénaturer [...] jusqu’aux données mêmes de la vie humaine » et qui nous montrent comment le droit « peut agir et transformer la nature </w:t>
      </w:r>
      <w:r w:rsidR="00C14BE3" w:rsidRPr="00A35634">
        <w:rPr>
          <w:color w:val="000000" w:themeColor="text1"/>
          <w:sz w:val="24"/>
          <w:szCs w:val="24"/>
        </w:rPr>
        <w:t>des choses »</w:t>
      </w:r>
      <w:r w:rsidR="008C0A4A" w:rsidRPr="00A35634">
        <w:rPr>
          <w:rStyle w:val="Appelnotedebasdep"/>
          <w:color w:val="000000" w:themeColor="text1"/>
          <w:sz w:val="24"/>
          <w:szCs w:val="24"/>
        </w:rPr>
        <w:footnoteReference w:id="2"/>
      </w:r>
      <w:r w:rsidR="00C14BE3" w:rsidRPr="00A35634">
        <w:rPr>
          <w:color w:val="000000" w:themeColor="text1"/>
          <w:sz w:val="24"/>
          <w:szCs w:val="24"/>
        </w:rPr>
        <w:t xml:space="preserve">. </w:t>
      </w:r>
      <w:r w:rsidR="0088387E" w:rsidRPr="00A35634">
        <w:rPr>
          <w:sz w:val="24"/>
          <w:szCs w:val="24"/>
        </w:rPr>
        <w:t>Cette fiction repose sur le postulat, parfois explicite chez certains auteurs,</w:t>
      </w:r>
      <w:r w:rsidR="00AD778B" w:rsidRPr="00A35634">
        <w:rPr>
          <w:sz w:val="24"/>
          <w:szCs w:val="24"/>
        </w:rPr>
        <w:t xml:space="preserve"> selon lequel il existe deux </w:t>
      </w:r>
      <w:r w:rsidR="001962AE" w:rsidRPr="00A35634">
        <w:rPr>
          <w:sz w:val="24"/>
          <w:szCs w:val="24"/>
        </w:rPr>
        <w:t>vies</w:t>
      </w:r>
      <w:r w:rsidR="00AD778B" w:rsidRPr="00A35634">
        <w:rPr>
          <w:sz w:val="24"/>
          <w:szCs w:val="24"/>
        </w:rPr>
        <w:t> </w:t>
      </w:r>
      <w:r w:rsidR="001962AE" w:rsidRPr="00A35634">
        <w:rPr>
          <w:sz w:val="24"/>
          <w:szCs w:val="24"/>
        </w:rPr>
        <w:t xml:space="preserve">: la </w:t>
      </w:r>
      <w:r w:rsidR="001962AE" w:rsidRPr="00A35634">
        <w:rPr>
          <w:color w:val="000000" w:themeColor="text1"/>
          <w:sz w:val="24"/>
          <w:szCs w:val="24"/>
        </w:rPr>
        <w:t>« vie civile »</w:t>
      </w:r>
      <w:r w:rsidR="00DB52CB" w:rsidRPr="00A35634">
        <w:rPr>
          <w:color w:val="000000" w:themeColor="text1"/>
          <w:sz w:val="24"/>
          <w:szCs w:val="24"/>
        </w:rPr>
        <w:t xml:space="preserve"> </w:t>
      </w:r>
      <w:r w:rsidR="001962AE" w:rsidRPr="00A35634">
        <w:rPr>
          <w:color w:val="000000" w:themeColor="text1"/>
          <w:sz w:val="24"/>
          <w:szCs w:val="24"/>
        </w:rPr>
        <w:t>ou juridique</w:t>
      </w:r>
      <w:r w:rsidR="001962AE" w:rsidRPr="00A35634">
        <w:rPr>
          <w:sz w:val="24"/>
          <w:szCs w:val="24"/>
        </w:rPr>
        <w:t xml:space="preserve"> </w:t>
      </w:r>
      <w:r w:rsidR="00AD778B" w:rsidRPr="00A35634">
        <w:rPr>
          <w:sz w:val="24"/>
          <w:szCs w:val="24"/>
        </w:rPr>
        <w:t xml:space="preserve">et la vie </w:t>
      </w:r>
      <w:r w:rsidR="004641FD" w:rsidRPr="00A35634">
        <w:rPr>
          <w:sz w:val="24"/>
          <w:szCs w:val="24"/>
        </w:rPr>
        <w:t>« </w:t>
      </w:r>
      <w:r w:rsidR="00AD778B" w:rsidRPr="00A35634">
        <w:rPr>
          <w:sz w:val="24"/>
          <w:szCs w:val="24"/>
        </w:rPr>
        <w:t>naturelle</w:t>
      </w:r>
      <w:r w:rsidR="004641FD" w:rsidRPr="00A35634">
        <w:rPr>
          <w:sz w:val="24"/>
          <w:szCs w:val="24"/>
        </w:rPr>
        <w:t> »</w:t>
      </w:r>
      <w:r w:rsidR="0007445A" w:rsidRPr="00A35634">
        <w:rPr>
          <w:rStyle w:val="Appelnotedebasdep"/>
          <w:sz w:val="24"/>
          <w:szCs w:val="24"/>
        </w:rPr>
        <w:footnoteReference w:id="3"/>
      </w:r>
      <w:r w:rsidR="001962AE" w:rsidRPr="00A35634">
        <w:rPr>
          <w:color w:val="000000" w:themeColor="text1"/>
          <w:sz w:val="24"/>
          <w:szCs w:val="24"/>
        </w:rPr>
        <w:t>.</w:t>
      </w:r>
      <w:r w:rsidR="00B017D3" w:rsidRPr="00A35634">
        <w:rPr>
          <w:color w:val="000000" w:themeColor="text1"/>
          <w:sz w:val="24"/>
          <w:szCs w:val="24"/>
        </w:rPr>
        <w:t xml:space="preserve"> </w:t>
      </w:r>
      <w:r w:rsidR="0088387E" w:rsidRPr="00A35634">
        <w:rPr>
          <w:sz w:val="24"/>
          <w:szCs w:val="24"/>
        </w:rPr>
        <w:t xml:space="preserve">Mon </w:t>
      </w:r>
      <w:r w:rsidR="0088387E" w:rsidRPr="00A35634">
        <w:rPr>
          <w:b/>
          <w:sz w:val="24"/>
          <w:szCs w:val="24"/>
        </w:rPr>
        <w:t>hypothèse de recherche</w:t>
      </w:r>
      <w:r w:rsidR="0088387E" w:rsidRPr="00A35634">
        <w:rPr>
          <w:sz w:val="24"/>
          <w:szCs w:val="24"/>
        </w:rPr>
        <w:t xml:space="preserve"> est que les juristes français, lorsqu'ils traitent de la mort civile, mettent au jour</w:t>
      </w:r>
      <w:r w:rsidR="001962AE" w:rsidRPr="00A35634">
        <w:rPr>
          <w:sz w:val="24"/>
          <w:szCs w:val="24"/>
        </w:rPr>
        <w:t xml:space="preserve"> la</w:t>
      </w:r>
      <w:r w:rsidR="00232385" w:rsidRPr="00A35634">
        <w:rPr>
          <w:sz w:val="24"/>
          <w:szCs w:val="24"/>
        </w:rPr>
        <w:t xml:space="preserve"> superposition </w:t>
      </w:r>
      <w:r w:rsidR="0088387E" w:rsidRPr="00A35634">
        <w:rPr>
          <w:sz w:val="24"/>
          <w:szCs w:val="24"/>
        </w:rPr>
        <w:t xml:space="preserve">de </w:t>
      </w:r>
      <w:r w:rsidR="00232385" w:rsidRPr="00A35634">
        <w:rPr>
          <w:sz w:val="24"/>
          <w:szCs w:val="24"/>
        </w:rPr>
        <w:t>la première sur la deuxième. L'</w:t>
      </w:r>
      <w:r w:rsidR="00963795" w:rsidRPr="00A35634">
        <w:rPr>
          <w:sz w:val="24"/>
          <w:szCs w:val="24"/>
        </w:rPr>
        <w:t xml:space="preserve">assimilation de la vie naturelle </w:t>
      </w:r>
      <w:r w:rsidR="00232385" w:rsidRPr="00A35634">
        <w:rPr>
          <w:sz w:val="24"/>
          <w:szCs w:val="24"/>
        </w:rPr>
        <w:t xml:space="preserve">à la vie juridique est visible, </w:t>
      </w:r>
      <w:r w:rsidR="0070086A" w:rsidRPr="00A35634">
        <w:rPr>
          <w:sz w:val="24"/>
          <w:szCs w:val="24"/>
        </w:rPr>
        <w:t>par exemple</w:t>
      </w:r>
      <w:r w:rsidR="00232385" w:rsidRPr="00A35634">
        <w:rPr>
          <w:sz w:val="24"/>
          <w:szCs w:val="24"/>
        </w:rPr>
        <w:t>,</w:t>
      </w:r>
      <w:r w:rsidR="0070086A" w:rsidRPr="00A35634">
        <w:rPr>
          <w:sz w:val="24"/>
          <w:szCs w:val="24"/>
        </w:rPr>
        <w:t xml:space="preserve"> lorsque</w:t>
      </w:r>
      <w:r w:rsidR="00713D82" w:rsidRPr="00A35634">
        <w:rPr>
          <w:sz w:val="24"/>
          <w:szCs w:val="24"/>
        </w:rPr>
        <w:t xml:space="preserve"> ces auteurs écrivent</w:t>
      </w:r>
      <w:r w:rsidR="0070086A" w:rsidRPr="00A35634">
        <w:rPr>
          <w:sz w:val="24"/>
          <w:szCs w:val="24"/>
        </w:rPr>
        <w:t xml:space="preserve"> que l'on</w:t>
      </w:r>
      <w:r w:rsidR="001962AE" w:rsidRPr="00A35634">
        <w:rPr>
          <w:sz w:val="24"/>
          <w:szCs w:val="24"/>
        </w:rPr>
        <w:t xml:space="preserve"> doit « </w:t>
      </w:r>
      <w:r w:rsidR="001962AE" w:rsidRPr="00A35634">
        <w:rPr>
          <w:sz w:val="24"/>
          <w:szCs w:val="24"/>
          <w:lang w:val="fr-CA"/>
        </w:rPr>
        <w:t xml:space="preserve">regarder </w:t>
      </w:r>
      <w:r w:rsidR="0070086A" w:rsidRPr="00A35634">
        <w:rPr>
          <w:sz w:val="24"/>
          <w:szCs w:val="24"/>
          <w:lang w:val="fr-CA"/>
        </w:rPr>
        <w:t xml:space="preserve">[l'individu mort civilement] </w:t>
      </w:r>
      <w:r w:rsidR="001962AE" w:rsidRPr="00A35634">
        <w:rPr>
          <w:sz w:val="24"/>
          <w:szCs w:val="24"/>
          <w:lang w:val="fr-CA"/>
        </w:rPr>
        <w:t xml:space="preserve">non seulement comme n’existant plus dans la société, mais comme retranché du nombre des </w:t>
      </w:r>
      <w:proofErr w:type="spellStart"/>
      <w:r w:rsidR="001962AE" w:rsidRPr="00A35634">
        <w:rPr>
          <w:sz w:val="24"/>
          <w:szCs w:val="24"/>
          <w:lang w:val="fr-CA"/>
        </w:rPr>
        <w:t>vivan</w:t>
      </w:r>
      <w:proofErr w:type="spellEnd"/>
      <w:r w:rsidR="001962AE" w:rsidRPr="00A35634">
        <w:rPr>
          <w:sz w:val="24"/>
          <w:szCs w:val="24"/>
          <w:lang w:val="fr-CA"/>
        </w:rPr>
        <w:t>[t]s </w:t>
      </w:r>
      <w:r w:rsidR="001962AE" w:rsidRPr="00A35634">
        <w:rPr>
          <w:color w:val="000000" w:themeColor="text1"/>
          <w:sz w:val="24"/>
          <w:szCs w:val="24"/>
          <w:lang w:val="fr-CA"/>
        </w:rPr>
        <w:t>»</w:t>
      </w:r>
      <w:r w:rsidR="009D5B03" w:rsidRPr="00A35634">
        <w:rPr>
          <w:rStyle w:val="Appelnotedebasdep"/>
          <w:color w:val="000000" w:themeColor="text1"/>
          <w:sz w:val="24"/>
          <w:szCs w:val="24"/>
          <w:lang w:val="fr-CA"/>
        </w:rPr>
        <w:footnoteReference w:id="4"/>
      </w:r>
      <w:r w:rsidR="001962AE" w:rsidRPr="00A35634">
        <w:rPr>
          <w:color w:val="000000" w:themeColor="text1"/>
          <w:sz w:val="24"/>
          <w:szCs w:val="24"/>
          <w:lang w:val="fr-CA"/>
        </w:rPr>
        <w:t>.</w:t>
      </w:r>
      <w:r w:rsidR="00606CC3" w:rsidRPr="00A35634">
        <w:rPr>
          <w:color w:val="000000" w:themeColor="text1"/>
          <w:sz w:val="24"/>
          <w:szCs w:val="24"/>
          <w:lang w:val="fr-CA"/>
        </w:rPr>
        <w:t xml:space="preserve"> </w:t>
      </w:r>
    </w:p>
    <w:p w14:paraId="689DC054" w14:textId="77777777" w:rsidR="003E0A95" w:rsidRPr="00A35634" w:rsidRDefault="003E0A95" w:rsidP="00791FF7">
      <w:pPr>
        <w:spacing w:line="360" w:lineRule="auto"/>
        <w:jc w:val="both"/>
        <w:rPr>
          <w:sz w:val="24"/>
          <w:szCs w:val="24"/>
        </w:rPr>
      </w:pPr>
    </w:p>
    <w:p w14:paraId="4F6873F3" w14:textId="77777777" w:rsidR="00713D82" w:rsidRPr="00A35634" w:rsidRDefault="00713D82" w:rsidP="00791FF7">
      <w:pPr>
        <w:spacing w:line="360" w:lineRule="auto"/>
        <w:jc w:val="both"/>
        <w:rPr>
          <w:sz w:val="24"/>
          <w:szCs w:val="24"/>
        </w:rPr>
      </w:pPr>
    </w:p>
    <w:p w14:paraId="40D7805C" w14:textId="26642F8D" w:rsidR="00AB1DD4" w:rsidRPr="00A35634" w:rsidRDefault="00AB1DD4" w:rsidP="00791FF7">
      <w:pPr>
        <w:spacing w:line="360" w:lineRule="auto"/>
        <w:jc w:val="both"/>
        <w:rPr>
          <w:sz w:val="24"/>
          <w:szCs w:val="24"/>
          <w:u w:val="single"/>
        </w:rPr>
      </w:pPr>
      <w:r w:rsidRPr="00A35634">
        <w:rPr>
          <w:sz w:val="24"/>
          <w:szCs w:val="24"/>
          <w:u w:val="single"/>
        </w:rPr>
        <w:lastRenderedPageBreak/>
        <w:t>Méthodologie et cadre théorique</w:t>
      </w:r>
    </w:p>
    <w:p w14:paraId="473EC2A5" w14:textId="345B2D95" w:rsidR="00C52650" w:rsidRPr="00A35634" w:rsidRDefault="00C52650" w:rsidP="00791FF7">
      <w:pPr>
        <w:spacing w:line="360" w:lineRule="auto"/>
        <w:jc w:val="both"/>
        <w:rPr>
          <w:b/>
          <w:sz w:val="24"/>
          <w:szCs w:val="24"/>
        </w:rPr>
      </w:pPr>
      <w:r w:rsidRPr="00A35634">
        <w:rPr>
          <w:sz w:val="24"/>
          <w:szCs w:val="24"/>
        </w:rPr>
        <w:tab/>
      </w:r>
      <w:r w:rsidR="00A75F9C" w:rsidRPr="00A35634">
        <w:rPr>
          <w:sz w:val="24"/>
          <w:szCs w:val="24"/>
        </w:rPr>
        <w:t>Sur le plan méthodologique, cette recherche consistera en un dépouillement et une fine analyse des traités et des manuels de droit civil publiés entre le XVII</w:t>
      </w:r>
      <w:r w:rsidR="00A75F9C" w:rsidRPr="00A35634">
        <w:rPr>
          <w:sz w:val="24"/>
          <w:szCs w:val="24"/>
          <w:vertAlign w:val="superscript"/>
        </w:rPr>
        <w:t>e</w:t>
      </w:r>
      <w:r w:rsidR="00A75F9C" w:rsidRPr="00A35634">
        <w:rPr>
          <w:sz w:val="24"/>
          <w:szCs w:val="24"/>
        </w:rPr>
        <w:t xml:space="preserve"> et la première moitié du XIX</w:t>
      </w:r>
      <w:r w:rsidR="00A75F9C" w:rsidRPr="00A35634">
        <w:rPr>
          <w:sz w:val="24"/>
          <w:szCs w:val="24"/>
          <w:vertAlign w:val="superscript"/>
        </w:rPr>
        <w:t>e</w:t>
      </w:r>
      <w:r w:rsidR="00A75F9C" w:rsidRPr="00A35634">
        <w:rPr>
          <w:sz w:val="24"/>
          <w:szCs w:val="24"/>
        </w:rPr>
        <w:t xml:space="preserve"> siècle. En raison de la durée du projet et de l'accessibilité des ressources, le co</w:t>
      </w:r>
      <w:r w:rsidR="00A37518" w:rsidRPr="00A35634">
        <w:rPr>
          <w:sz w:val="24"/>
          <w:szCs w:val="24"/>
        </w:rPr>
        <w:t xml:space="preserve">rpus a été nécessairement ciblé. Bien qu'une incursion superficielle dans les archives judiciaires s'avérera fort utile pour décrire la portée réelle de la mort civile en France durant ces deux siècles, cette recherche sera </w:t>
      </w:r>
      <w:r w:rsidR="00854C9A" w:rsidRPr="00A35634">
        <w:rPr>
          <w:sz w:val="24"/>
          <w:szCs w:val="24"/>
        </w:rPr>
        <w:t>orientée</w:t>
      </w:r>
      <w:r w:rsidR="00A37518" w:rsidRPr="00A35634">
        <w:rPr>
          <w:sz w:val="24"/>
          <w:szCs w:val="24"/>
        </w:rPr>
        <w:t xml:space="preserve"> </w:t>
      </w:r>
      <w:r w:rsidR="00854C9A" w:rsidRPr="00A35634">
        <w:rPr>
          <w:sz w:val="24"/>
          <w:szCs w:val="24"/>
        </w:rPr>
        <w:t>vers</w:t>
      </w:r>
      <w:r w:rsidR="00A37518" w:rsidRPr="00A35634">
        <w:rPr>
          <w:sz w:val="24"/>
          <w:szCs w:val="24"/>
        </w:rPr>
        <w:t xml:space="preserve"> la production doctrinale. </w:t>
      </w:r>
    </w:p>
    <w:p w14:paraId="279441DC" w14:textId="77777777" w:rsidR="00A37518" w:rsidRPr="00A35634" w:rsidRDefault="00A37518" w:rsidP="00791FF7">
      <w:pPr>
        <w:spacing w:line="360" w:lineRule="auto"/>
        <w:jc w:val="both"/>
        <w:rPr>
          <w:sz w:val="24"/>
          <w:szCs w:val="24"/>
        </w:rPr>
      </w:pPr>
    </w:p>
    <w:p w14:paraId="6B48EDCF" w14:textId="3E6399A5" w:rsidR="00FC002B" w:rsidRDefault="00A37518" w:rsidP="00791FF7">
      <w:pPr>
        <w:spacing w:line="360" w:lineRule="auto"/>
        <w:jc w:val="both"/>
        <w:rPr>
          <w:color w:val="000000" w:themeColor="text1"/>
          <w:sz w:val="24"/>
          <w:szCs w:val="24"/>
        </w:rPr>
      </w:pPr>
      <w:r w:rsidRPr="00A35634">
        <w:rPr>
          <w:sz w:val="24"/>
          <w:szCs w:val="24"/>
        </w:rPr>
        <w:tab/>
      </w:r>
      <w:r w:rsidR="00E32115" w:rsidRPr="00A35634">
        <w:rPr>
          <w:sz w:val="24"/>
          <w:szCs w:val="24"/>
        </w:rPr>
        <w:t xml:space="preserve">En ce qui concerne les sources « secondaires » et la littérature qui servira d'appui à mon analyse, je compte puiser dans la théorie du droit en portant une attention particulière aux écrits sur les fictions juridiques. </w:t>
      </w:r>
      <w:r w:rsidR="000C1D08" w:rsidRPr="00A35634">
        <w:rPr>
          <w:sz w:val="24"/>
          <w:szCs w:val="24"/>
        </w:rPr>
        <w:t xml:space="preserve">Puisque cette </w:t>
      </w:r>
      <w:r w:rsidR="00003687" w:rsidRPr="00A35634">
        <w:rPr>
          <w:sz w:val="24"/>
          <w:szCs w:val="24"/>
        </w:rPr>
        <w:t xml:space="preserve">recherche concerne le </w:t>
      </w:r>
      <w:r w:rsidR="000C1D08" w:rsidRPr="00A35634">
        <w:rPr>
          <w:sz w:val="24"/>
          <w:szCs w:val="24"/>
        </w:rPr>
        <w:t>rô</w:t>
      </w:r>
      <w:r w:rsidR="00003687" w:rsidRPr="00A35634">
        <w:rPr>
          <w:sz w:val="24"/>
          <w:szCs w:val="24"/>
        </w:rPr>
        <w:t xml:space="preserve">le du droit </w:t>
      </w:r>
      <w:r w:rsidR="000C1D08" w:rsidRPr="00A35634">
        <w:rPr>
          <w:sz w:val="24"/>
          <w:szCs w:val="24"/>
        </w:rPr>
        <w:t>dans la</w:t>
      </w:r>
      <w:r w:rsidR="00003687" w:rsidRPr="00A35634">
        <w:rPr>
          <w:sz w:val="24"/>
          <w:szCs w:val="24"/>
        </w:rPr>
        <w:t xml:space="preserve"> constitution de la</w:t>
      </w:r>
      <w:r w:rsidR="000C1D08" w:rsidRPr="00A35634">
        <w:rPr>
          <w:sz w:val="24"/>
          <w:szCs w:val="24"/>
        </w:rPr>
        <w:t xml:space="preserve"> vie politique, </w:t>
      </w:r>
      <w:r w:rsidR="00003687" w:rsidRPr="00A35634">
        <w:rPr>
          <w:sz w:val="24"/>
          <w:szCs w:val="24"/>
        </w:rPr>
        <w:t xml:space="preserve">elle </w:t>
      </w:r>
      <w:r w:rsidR="00462224" w:rsidRPr="00A35634">
        <w:rPr>
          <w:sz w:val="24"/>
          <w:szCs w:val="24"/>
        </w:rPr>
        <w:t>s'étend</w:t>
      </w:r>
      <w:r w:rsidR="00326F9C" w:rsidRPr="00A35634">
        <w:rPr>
          <w:sz w:val="24"/>
          <w:szCs w:val="24"/>
        </w:rPr>
        <w:t xml:space="preserve"> </w:t>
      </w:r>
      <w:r w:rsidR="00E32115" w:rsidRPr="00A35634">
        <w:rPr>
          <w:sz w:val="24"/>
          <w:szCs w:val="24"/>
        </w:rPr>
        <w:t>également</w:t>
      </w:r>
      <w:r w:rsidR="000C1D08" w:rsidRPr="00A35634">
        <w:rPr>
          <w:sz w:val="24"/>
          <w:szCs w:val="24"/>
        </w:rPr>
        <w:t xml:space="preserve"> </w:t>
      </w:r>
      <w:r w:rsidR="00326F9C" w:rsidRPr="00A35634">
        <w:rPr>
          <w:sz w:val="24"/>
          <w:szCs w:val="24"/>
        </w:rPr>
        <w:t xml:space="preserve">au-delà de l'histoire du </w:t>
      </w:r>
      <w:r w:rsidR="00783CCF" w:rsidRPr="00A35634">
        <w:rPr>
          <w:sz w:val="24"/>
          <w:szCs w:val="24"/>
        </w:rPr>
        <w:t>d</w:t>
      </w:r>
      <w:r w:rsidR="00462224" w:rsidRPr="00A35634">
        <w:rPr>
          <w:sz w:val="24"/>
          <w:szCs w:val="24"/>
        </w:rPr>
        <w:t xml:space="preserve">roit </w:t>
      </w:r>
      <w:r w:rsidR="00854C9A" w:rsidRPr="00A35634">
        <w:rPr>
          <w:sz w:val="24"/>
          <w:szCs w:val="24"/>
        </w:rPr>
        <w:t xml:space="preserve">et de la théorie du droit </w:t>
      </w:r>
      <w:r w:rsidR="00462224" w:rsidRPr="00A35634">
        <w:rPr>
          <w:sz w:val="24"/>
          <w:szCs w:val="24"/>
        </w:rPr>
        <w:t xml:space="preserve">en s'inscrivant </w:t>
      </w:r>
      <w:r w:rsidR="001700E6" w:rsidRPr="00A35634">
        <w:rPr>
          <w:sz w:val="24"/>
          <w:szCs w:val="24"/>
        </w:rPr>
        <w:t xml:space="preserve">également dans le champ de la </w:t>
      </w:r>
      <w:r w:rsidR="00462224" w:rsidRPr="00A35634">
        <w:rPr>
          <w:sz w:val="24"/>
          <w:szCs w:val="24"/>
        </w:rPr>
        <w:t>philosophie politique</w:t>
      </w:r>
      <w:r w:rsidR="001700E6" w:rsidRPr="00A35634">
        <w:rPr>
          <w:sz w:val="24"/>
          <w:szCs w:val="24"/>
        </w:rPr>
        <w:t xml:space="preserve">. </w:t>
      </w:r>
      <w:r w:rsidR="00854C9A" w:rsidRPr="00A35634">
        <w:rPr>
          <w:sz w:val="24"/>
          <w:szCs w:val="24"/>
        </w:rPr>
        <w:t>Afin d'enrichir mon</w:t>
      </w:r>
      <w:r w:rsidR="004F065A" w:rsidRPr="00A35634">
        <w:rPr>
          <w:sz w:val="24"/>
          <w:szCs w:val="24"/>
        </w:rPr>
        <w:t xml:space="preserve"> analyse de</w:t>
      </w:r>
      <w:r w:rsidR="004641FD" w:rsidRPr="00A35634">
        <w:rPr>
          <w:sz w:val="24"/>
          <w:szCs w:val="24"/>
        </w:rPr>
        <w:t xml:space="preserve"> l</w:t>
      </w:r>
      <w:r w:rsidR="001C4BAB" w:rsidRPr="00A35634">
        <w:rPr>
          <w:sz w:val="24"/>
          <w:szCs w:val="24"/>
        </w:rPr>
        <w:t>'assimilation de la vie naturelle à la vie civile</w:t>
      </w:r>
      <w:r w:rsidR="00834747" w:rsidRPr="00A35634">
        <w:rPr>
          <w:sz w:val="24"/>
          <w:szCs w:val="24"/>
        </w:rPr>
        <w:t xml:space="preserve"> ou juridique</w:t>
      </w:r>
      <w:r w:rsidR="001C4BAB" w:rsidRPr="00A35634">
        <w:rPr>
          <w:sz w:val="24"/>
          <w:szCs w:val="24"/>
        </w:rPr>
        <w:t xml:space="preserve">, </w:t>
      </w:r>
      <w:r w:rsidR="00C96056" w:rsidRPr="00A35634">
        <w:rPr>
          <w:sz w:val="24"/>
          <w:szCs w:val="24"/>
        </w:rPr>
        <w:t xml:space="preserve">je </w:t>
      </w:r>
      <w:r w:rsidR="00854C9A" w:rsidRPr="00A35634">
        <w:rPr>
          <w:sz w:val="24"/>
          <w:szCs w:val="24"/>
        </w:rPr>
        <w:t>pourrai</w:t>
      </w:r>
      <w:r w:rsidR="00C96056" w:rsidRPr="00A35634">
        <w:rPr>
          <w:sz w:val="24"/>
          <w:szCs w:val="24"/>
        </w:rPr>
        <w:t xml:space="preserve"> </w:t>
      </w:r>
      <w:r w:rsidR="005C2FD8" w:rsidRPr="00A35634">
        <w:rPr>
          <w:sz w:val="24"/>
          <w:szCs w:val="24"/>
        </w:rPr>
        <w:t>notamment</w:t>
      </w:r>
      <w:r w:rsidR="00A71B47" w:rsidRPr="00A35634">
        <w:rPr>
          <w:sz w:val="24"/>
          <w:szCs w:val="24"/>
        </w:rPr>
        <w:t xml:space="preserve"> </w:t>
      </w:r>
      <w:r w:rsidR="00854C9A" w:rsidRPr="00A35634">
        <w:rPr>
          <w:sz w:val="24"/>
          <w:szCs w:val="24"/>
        </w:rPr>
        <w:t xml:space="preserve">m'appuyer </w:t>
      </w:r>
      <w:r w:rsidR="00A71B47" w:rsidRPr="00A35634">
        <w:rPr>
          <w:sz w:val="24"/>
          <w:szCs w:val="24"/>
        </w:rPr>
        <w:t>sur l</w:t>
      </w:r>
      <w:r w:rsidR="00783CCF" w:rsidRPr="00A35634">
        <w:rPr>
          <w:sz w:val="24"/>
          <w:szCs w:val="24"/>
        </w:rPr>
        <w:t xml:space="preserve">es </w:t>
      </w:r>
      <w:r w:rsidR="00A71B47" w:rsidRPr="00A35634">
        <w:rPr>
          <w:sz w:val="24"/>
          <w:szCs w:val="24"/>
        </w:rPr>
        <w:t xml:space="preserve">écrits </w:t>
      </w:r>
      <w:r w:rsidR="00D20852" w:rsidRPr="00A35634">
        <w:rPr>
          <w:sz w:val="24"/>
          <w:szCs w:val="24"/>
        </w:rPr>
        <w:t>du philosophe</w:t>
      </w:r>
      <w:r w:rsidR="00F17A82" w:rsidRPr="00A35634">
        <w:rPr>
          <w:sz w:val="24"/>
          <w:szCs w:val="24"/>
        </w:rPr>
        <w:t xml:space="preserve"> </w:t>
      </w:r>
      <w:r w:rsidR="004641FD" w:rsidRPr="00A35634">
        <w:rPr>
          <w:sz w:val="24"/>
          <w:szCs w:val="24"/>
        </w:rPr>
        <w:t xml:space="preserve">italien </w:t>
      </w:r>
      <w:r w:rsidR="00783CCF" w:rsidRPr="00A35634">
        <w:rPr>
          <w:sz w:val="24"/>
          <w:szCs w:val="24"/>
        </w:rPr>
        <w:t xml:space="preserve">Giorgio </w:t>
      </w:r>
      <w:proofErr w:type="spellStart"/>
      <w:r w:rsidR="00783CCF" w:rsidRPr="00A35634">
        <w:rPr>
          <w:sz w:val="24"/>
          <w:szCs w:val="24"/>
        </w:rPr>
        <w:t>Agamben</w:t>
      </w:r>
      <w:proofErr w:type="spellEnd"/>
      <w:r w:rsidR="00A71B47" w:rsidRPr="00A35634">
        <w:rPr>
          <w:sz w:val="24"/>
          <w:szCs w:val="24"/>
        </w:rPr>
        <w:t xml:space="preserve"> sur</w:t>
      </w:r>
      <w:r w:rsidR="0008707E" w:rsidRPr="00A35634">
        <w:rPr>
          <w:sz w:val="24"/>
          <w:szCs w:val="24"/>
        </w:rPr>
        <w:t xml:space="preserve"> le rapport entre </w:t>
      </w:r>
      <w:r w:rsidR="0008707E" w:rsidRPr="00A35634">
        <w:rPr>
          <w:color w:val="000000" w:themeColor="text1"/>
          <w:sz w:val="24"/>
          <w:szCs w:val="24"/>
        </w:rPr>
        <w:t>la vie nue et le pouvoir souverain</w:t>
      </w:r>
      <w:r w:rsidR="00E32115" w:rsidRPr="00A35634">
        <w:rPr>
          <w:rStyle w:val="Appelnotedebasdep"/>
          <w:color w:val="000000" w:themeColor="text1"/>
          <w:sz w:val="24"/>
          <w:szCs w:val="24"/>
        </w:rPr>
        <w:footnoteReference w:id="5"/>
      </w:r>
      <w:r w:rsidR="00003687" w:rsidRPr="00A35634">
        <w:rPr>
          <w:color w:val="000000" w:themeColor="text1"/>
          <w:sz w:val="24"/>
          <w:szCs w:val="24"/>
        </w:rPr>
        <w:t xml:space="preserve">. </w:t>
      </w:r>
    </w:p>
    <w:p w14:paraId="35588D7E" w14:textId="77777777" w:rsidR="00CE5BA0" w:rsidRPr="00A35634" w:rsidRDefault="00CE5BA0" w:rsidP="00791FF7">
      <w:pPr>
        <w:spacing w:line="360" w:lineRule="auto"/>
        <w:jc w:val="both"/>
        <w:rPr>
          <w:color w:val="000000" w:themeColor="text1"/>
          <w:sz w:val="24"/>
          <w:szCs w:val="24"/>
        </w:rPr>
      </w:pPr>
    </w:p>
    <w:p w14:paraId="6C80FDCD" w14:textId="31ED0F61" w:rsidR="00AB1DD4" w:rsidRPr="00A35634" w:rsidRDefault="00AB1DD4" w:rsidP="00791FF7">
      <w:pPr>
        <w:spacing w:line="360" w:lineRule="auto"/>
        <w:jc w:val="both"/>
        <w:rPr>
          <w:color w:val="000000" w:themeColor="text1"/>
          <w:sz w:val="24"/>
          <w:szCs w:val="24"/>
        </w:rPr>
      </w:pPr>
      <w:r w:rsidRPr="00A35634">
        <w:rPr>
          <w:color w:val="000000" w:themeColor="text1"/>
          <w:sz w:val="24"/>
          <w:szCs w:val="24"/>
          <w:u w:val="single"/>
        </w:rPr>
        <w:t>Positionnement par rapport à la littérature</w:t>
      </w:r>
      <w:r w:rsidR="00E32115" w:rsidRPr="00A35634">
        <w:rPr>
          <w:color w:val="000000" w:themeColor="text1"/>
          <w:sz w:val="24"/>
          <w:szCs w:val="24"/>
          <w:u w:val="single"/>
        </w:rPr>
        <w:t xml:space="preserve"> scientifique existante</w:t>
      </w:r>
    </w:p>
    <w:p w14:paraId="733454B5" w14:textId="7B2EB4E8" w:rsidR="008F38BD" w:rsidRPr="00A35634" w:rsidRDefault="008F38BD" w:rsidP="00791FF7">
      <w:pPr>
        <w:spacing w:line="360" w:lineRule="auto"/>
        <w:jc w:val="both"/>
        <w:rPr>
          <w:sz w:val="24"/>
          <w:szCs w:val="24"/>
        </w:rPr>
      </w:pPr>
      <w:r w:rsidRPr="00A35634">
        <w:rPr>
          <w:sz w:val="24"/>
          <w:szCs w:val="24"/>
        </w:rPr>
        <w:tab/>
      </w:r>
      <w:r w:rsidR="00FC002B" w:rsidRPr="00A35634">
        <w:rPr>
          <w:sz w:val="24"/>
          <w:szCs w:val="24"/>
        </w:rPr>
        <w:t>Alors qu'il existe de très riches réflexions sur l'équivalent fonctionnel de la mort civile dans le monde anglo-saxon</w:t>
      </w:r>
      <w:r w:rsidR="009D5B03" w:rsidRPr="00A35634">
        <w:rPr>
          <w:rStyle w:val="Appelnotedebasdep"/>
          <w:sz w:val="24"/>
          <w:szCs w:val="24"/>
        </w:rPr>
        <w:footnoteReference w:id="6"/>
      </w:r>
      <w:r w:rsidR="00FC002B" w:rsidRPr="00A35634">
        <w:rPr>
          <w:sz w:val="24"/>
          <w:szCs w:val="24"/>
        </w:rPr>
        <w:t xml:space="preserve">, </w:t>
      </w:r>
      <w:r w:rsidR="00166EEA" w:rsidRPr="00A35634">
        <w:rPr>
          <w:sz w:val="24"/>
          <w:szCs w:val="24"/>
        </w:rPr>
        <w:t xml:space="preserve">peu de travaux sont </w:t>
      </w:r>
      <w:r w:rsidR="00FC002B" w:rsidRPr="00A35634">
        <w:rPr>
          <w:sz w:val="24"/>
          <w:szCs w:val="24"/>
        </w:rPr>
        <w:t xml:space="preserve">consacrés </w:t>
      </w:r>
      <w:r w:rsidR="00192D4E" w:rsidRPr="00A35634">
        <w:rPr>
          <w:sz w:val="24"/>
          <w:szCs w:val="24"/>
        </w:rPr>
        <w:t xml:space="preserve">spécifiquement </w:t>
      </w:r>
      <w:r w:rsidR="00FC002B" w:rsidRPr="00A35634">
        <w:rPr>
          <w:sz w:val="24"/>
          <w:szCs w:val="24"/>
        </w:rPr>
        <w:t>à la mort civile en droit</w:t>
      </w:r>
      <w:r w:rsidR="00416AAC" w:rsidRPr="00A35634">
        <w:rPr>
          <w:sz w:val="24"/>
          <w:szCs w:val="24"/>
        </w:rPr>
        <w:t>. En se concentrant sur la production doctrinale, l</w:t>
      </w:r>
      <w:r w:rsidR="00FC002B" w:rsidRPr="00A35634">
        <w:rPr>
          <w:sz w:val="24"/>
          <w:szCs w:val="24"/>
        </w:rPr>
        <w:t xml:space="preserve">a présente recherche offrira un éclairage différent des rares </w:t>
      </w:r>
      <w:r w:rsidR="00166EEA" w:rsidRPr="00A35634">
        <w:rPr>
          <w:sz w:val="24"/>
          <w:szCs w:val="24"/>
        </w:rPr>
        <w:t xml:space="preserve">écrits existants, qui </w:t>
      </w:r>
      <w:r w:rsidR="00192D4E" w:rsidRPr="00A35634">
        <w:rPr>
          <w:sz w:val="24"/>
          <w:szCs w:val="24"/>
        </w:rPr>
        <w:t xml:space="preserve">adoptent une perspective plus générale </w:t>
      </w:r>
      <w:r w:rsidR="00FC002B" w:rsidRPr="00A35634">
        <w:rPr>
          <w:sz w:val="24"/>
          <w:szCs w:val="24"/>
        </w:rPr>
        <w:t>ou</w:t>
      </w:r>
      <w:r w:rsidR="00192D4E" w:rsidRPr="00A35634">
        <w:rPr>
          <w:sz w:val="24"/>
          <w:szCs w:val="24"/>
        </w:rPr>
        <w:t xml:space="preserve"> qui se consacrent</w:t>
      </w:r>
      <w:r w:rsidR="00FC002B" w:rsidRPr="00A35634">
        <w:rPr>
          <w:sz w:val="24"/>
          <w:szCs w:val="24"/>
        </w:rPr>
        <w:t xml:space="preserve"> au rôle d'autres acteurs judiciaires </w:t>
      </w:r>
      <w:r w:rsidR="00166EEA" w:rsidRPr="00A35634">
        <w:rPr>
          <w:sz w:val="24"/>
          <w:szCs w:val="24"/>
        </w:rPr>
        <w:t>particuliers</w:t>
      </w:r>
      <w:r w:rsidR="00192D4E" w:rsidRPr="00A35634">
        <w:rPr>
          <w:sz w:val="24"/>
          <w:szCs w:val="24"/>
        </w:rPr>
        <w:t xml:space="preserve">, comme </w:t>
      </w:r>
      <w:r w:rsidR="00416AAC" w:rsidRPr="00A35634">
        <w:rPr>
          <w:sz w:val="24"/>
          <w:szCs w:val="24"/>
        </w:rPr>
        <w:t xml:space="preserve">les </w:t>
      </w:r>
      <w:r w:rsidR="00192D4E" w:rsidRPr="00A35634">
        <w:rPr>
          <w:sz w:val="24"/>
          <w:szCs w:val="24"/>
        </w:rPr>
        <w:t>travaux de Pascal Bastien sur le greffier</w:t>
      </w:r>
      <w:r w:rsidR="00AE62AB" w:rsidRPr="00A35634">
        <w:rPr>
          <w:rStyle w:val="Appelnotedebasdep"/>
          <w:sz w:val="24"/>
          <w:szCs w:val="24"/>
        </w:rPr>
        <w:footnoteReference w:id="7"/>
      </w:r>
      <w:r w:rsidR="00FC002B" w:rsidRPr="00A35634">
        <w:rPr>
          <w:sz w:val="24"/>
          <w:szCs w:val="24"/>
        </w:rPr>
        <w:t xml:space="preserve">. </w:t>
      </w:r>
    </w:p>
    <w:p w14:paraId="2CF7BC84" w14:textId="77777777" w:rsidR="008F38BD" w:rsidRPr="00A35634" w:rsidRDefault="008F38BD" w:rsidP="00791FF7">
      <w:pPr>
        <w:spacing w:line="360" w:lineRule="auto"/>
        <w:jc w:val="both"/>
        <w:rPr>
          <w:sz w:val="24"/>
          <w:szCs w:val="24"/>
        </w:rPr>
      </w:pPr>
    </w:p>
    <w:p w14:paraId="73325796" w14:textId="2D4D8C8C" w:rsidR="00791FF7" w:rsidRDefault="008F38BD" w:rsidP="00791FF7">
      <w:pPr>
        <w:spacing w:line="360" w:lineRule="auto"/>
        <w:jc w:val="both"/>
        <w:rPr>
          <w:sz w:val="24"/>
          <w:szCs w:val="24"/>
        </w:rPr>
      </w:pPr>
      <w:r w:rsidRPr="00A35634">
        <w:rPr>
          <w:sz w:val="24"/>
          <w:szCs w:val="24"/>
        </w:rPr>
        <w:tab/>
      </w:r>
      <w:r w:rsidR="00FC002B" w:rsidRPr="00A35634">
        <w:rPr>
          <w:sz w:val="24"/>
          <w:szCs w:val="24"/>
        </w:rPr>
        <w:t xml:space="preserve">En étudiant ce </w:t>
      </w:r>
      <w:r w:rsidR="00FC002B" w:rsidRPr="00A35634">
        <w:rPr>
          <w:i/>
          <w:sz w:val="24"/>
          <w:szCs w:val="24"/>
        </w:rPr>
        <w:t>cas limite</w:t>
      </w:r>
      <w:r w:rsidR="00FC002B" w:rsidRPr="00A35634">
        <w:rPr>
          <w:sz w:val="24"/>
          <w:szCs w:val="24"/>
        </w:rPr>
        <w:t xml:space="preserve"> qu'est la mort civile, cette recherche a la prétention d'être une contribution, ténue mais nécessaire, à la très vaste histoire des droits et de la personnalité juridique</w:t>
      </w:r>
      <w:r w:rsidR="00652B65" w:rsidRPr="00A35634">
        <w:rPr>
          <w:rStyle w:val="Appelnotedebasdep"/>
          <w:sz w:val="24"/>
          <w:szCs w:val="24"/>
        </w:rPr>
        <w:footnoteReference w:id="8"/>
      </w:r>
      <w:r w:rsidR="00FC002B" w:rsidRPr="00A35634">
        <w:rPr>
          <w:sz w:val="24"/>
          <w:szCs w:val="24"/>
        </w:rPr>
        <w:t>. Cette histoire ne consiste pas seulement à raconter le processus d'universalisation</w:t>
      </w:r>
      <w:r w:rsidR="008E11BC" w:rsidRPr="00A35634">
        <w:rPr>
          <w:sz w:val="24"/>
          <w:szCs w:val="24"/>
        </w:rPr>
        <w:t xml:space="preserve"> des droits</w:t>
      </w:r>
      <w:r w:rsidR="00FC002B" w:rsidRPr="00A35634">
        <w:rPr>
          <w:sz w:val="24"/>
          <w:szCs w:val="24"/>
        </w:rPr>
        <w:t xml:space="preserve">, mais également </w:t>
      </w:r>
      <w:r w:rsidR="00166EEA" w:rsidRPr="00A35634">
        <w:rPr>
          <w:sz w:val="24"/>
          <w:szCs w:val="24"/>
        </w:rPr>
        <w:t>d'exposer</w:t>
      </w:r>
      <w:r w:rsidR="00FC002B" w:rsidRPr="00A35634">
        <w:rPr>
          <w:sz w:val="24"/>
          <w:szCs w:val="24"/>
        </w:rPr>
        <w:t xml:space="preserve"> ce qui se passe </w:t>
      </w:r>
      <w:r w:rsidR="00FC002B" w:rsidRPr="00A35634">
        <w:rPr>
          <w:i/>
          <w:sz w:val="24"/>
          <w:szCs w:val="24"/>
        </w:rPr>
        <w:t>en</w:t>
      </w:r>
      <w:r w:rsidR="00FC002B" w:rsidRPr="00A35634">
        <w:rPr>
          <w:sz w:val="24"/>
          <w:szCs w:val="24"/>
        </w:rPr>
        <w:t xml:space="preserve"> </w:t>
      </w:r>
      <w:r w:rsidR="00FC002B" w:rsidRPr="00A35634">
        <w:rPr>
          <w:i/>
          <w:sz w:val="24"/>
          <w:szCs w:val="24"/>
        </w:rPr>
        <w:t>marge</w:t>
      </w:r>
      <w:r w:rsidR="00FC002B" w:rsidRPr="00A35634">
        <w:rPr>
          <w:sz w:val="24"/>
          <w:szCs w:val="24"/>
        </w:rPr>
        <w:t>, soit l'exclusion de certains individus</w:t>
      </w:r>
      <w:r w:rsidR="00C96056" w:rsidRPr="00A35634">
        <w:rPr>
          <w:sz w:val="24"/>
          <w:szCs w:val="24"/>
        </w:rPr>
        <w:t>. Bien que la mort civile</w:t>
      </w:r>
      <w:r w:rsidR="00FC002B" w:rsidRPr="00A35634">
        <w:rPr>
          <w:sz w:val="24"/>
          <w:szCs w:val="24"/>
        </w:rPr>
        <w:t xml:space="preserve"> n'existe plus dans le droit positif, </w:t>
      </w:r>
      <w:r w:rsidR="00C96056" w:rsidRPr="00A35634">
        <w:rPr>
          <w:sz w:val="24"/>
          <w:szCs w:val="24"/>
        </w:rPr>
        <w:t>son étude</w:t>
      </w:r>
      <w:r w:rsidR="00FC002B" w:rsidRPr="00A35634">
        <w:rPr>
          <w:sz w:val="24"/>
          <w:szCs w:val="24"/>
        </w:rPr>
        <w:t xml:space="preserve"> </w:t>
      </w:r>
      <w:r w:rsidR="00964907" w:rsidRPr="00A35634">
        <w:rPr>
          <w:sz w:val="24"/>
          <w:szCs w:val="24"/>
        </w:rPr>
        <w:t>a un intérê</w:t>
      </w:r>
      <w:r w:rsidR="0086400B" w:rsidRPr="00A35634">
        <w:rPr>
          <w:sz w:val="24"/>
          <w:szCs w:val="24"/>
        </w:rPr>
        <w:t xml:space="preserve">t bien plus qu'antiquaire. </w:t>
      </w:r>
      <w:r w:rsidR="00FC002B" w:rsidRPr="00A35634">
        <w:rPr>
          <w:sz w:val="24"/>
          <w:szCs w:val="24"/>
        </w:rPr>
        <w:t>Elle permettra par exemple de mieux comprendr</w:t>
      </w:r>
      <w:r w:rsidRPr="00A35634">
        <w:rPr>
          <w:sz w:val="24"/>
          <w:szCs w:val="24"/>
        </w:rPr>
        <w:t xml:space="preserve">e pourquoi certains chercheurs, </w:t>
      </w:r>
      <w:r w:rsidRPr="00A35634">
        <w:rPr>
          <w:sz w:val="24"/>
          <w:szCs w:val="24"/>
        </w:rPr>
        <w:lastRenderedPageBreak/>
        <w:t>surtout aux États-Unis</w:t>
      </w:r>
      <w:r w:rsidR="00FC002B" w:rsidRPr="00A35634">
        <w:rPr>
          <w:sz w:val="24"/>
          <w:szCs w:val="24"/>
        </w:rPr>
        <w:t xml:space="preserve">, mobilisent </w:t>
      </w:r>
      <w:r w:rsidR="008E11BC" w:rsidRPr="00A35634">
        <w:rPr>
          <w:sz w:val="24"/>
          <w:szCs w:val="24"/>
        </w:rPr>
        <w:t xml:space="preserve">l'idée </w:t>
      </w:r>
      <w:r w:rsidR="00FC002B" w:rsidRPr="00A35634">
        <w:rPr>
          <w:sz w:val="24"/>
          <w:szCs w:val="24"/>
        </w:rPr>
        <w:t>de « nouvelles formes de mort civile » pour analyser certains phénomènes contemporains d'exclusion sociale, soit par exemple l'expérience d'individus en contexte carcéral et post-pénitentiaire</w:t>
      </w:r>
      <w:r w:rsidR="00E32115" w:rsidRPr="00A35634">
        <w:rPr>
          <w:rStyle w:val="Appelnotedebasdep"/>
          <w:sz w:val="24"/>
          <w:szCs w:val="24"/>
        </w:rPr>
        <w:footnoteReference w:id="9"/>
      </w:r>
      <w:r w:rsidR="00FC002B" w:rsidRPr="00A35634">
        <w:rPr>
          <w:sz w:val="24"/>
          <w:szCs w:val="24"/>
        </w:rPr>
        <w:t>.</w:t>
      </w:r>
      <w:r w:rsidR="00795BCF" w:rsidRPr="00A35634">
        <w:rPr>
          <w:sz w:val="24"/>
          <w:szCs w:val="24"/>
        </w:rPr>
        <w:t xml:space="preserve"> On ne peut compr</w:t>
      </w:r>
      <w:r w:rsidR="00416AAC" w:rsidRPr="00A35634">
        <w:rPr>
          <w:sz w:val="24"/>
          <w:szCs w:val="24"/>
        </w:rPr>
        <w:t xml:space="preserve">endre ce discours contemporain et </w:t>
      </w:r>
      <w:r w:rsidR="00795BCF" w:rsidRPr="00A35634">
        <w:rPr>
          <w:sz w:val="24"/>
          <w:szCs w:val="24"/>
        </w:rPr>
        <w:t>les enjeux par ra</w:t>
      </w:r>
      <w:r w:rsidR="00416AAC" w:rsidRPr="00A35634">
        <w:rPr>
          <w:sz w:val="24"/>
          <w:szCs w:val="24"/>
        </w:rPr>
        <w:t>pport auxquels il se positionne</w:t>
      </w:r>
      <w:r w:rsidR="00795BCF" w:rsidRPr="00A35634">
        <w:rPr>
          <w:sz w:val="24"/>
          <w:szCs w:val="24"/>
        </w:rPr>
        <w:t xml:space="preserve"> qu'en se penchant sur ce vocabulaire hérité </w:t>
      </w:r>
      <w:r w:rsidR="00F341DF" w:rsidRPr="00A35634">
        <w:rPr>
          <w:sz w:val="24"/>
          <w:szCs w:val="24"/>
        </w:rPr>
        <w:t>d'</w:t>
      </w:r>
      <w:r w:rsidR="00795BCF" w:rsidRPr="00A35634">
        <w:rPr>
          <w:sz w:val="24"/>
          <w:szCs w:val="24"/>
        </w:rPr>
        <w:t>institutions juridiques et politiques</w:t>
      </w:r>
      <w:r w:rsidR="00F341DF" w:rsidRPr="00A35634">
        <w:rPr>
          <w:sz w:val="24"/>
          <w:szCs w:val="24"/>
        </w:rPr>
        <w:t xml:space="preserve"> </w:t>
      </w:r>
      <w:r w:rsidR="00B86597" w:rsidRPr="00A35634">
        <w:rPr>
          <w:sz w:val="24"/>
          <w:szCs w:val="24"/>
        </w:rPr>
        <w:t>du passé</w:t>
      </w:r>
      <w:r w:rsidR="00795BCF" w:rsidRPr="00A35634">
        <w:rPr>
          <w:sz w:val="24"/>
          <w:szCs w:val="24"/>
        </w:rPr>
        <w:t xml:space="preserve">. </w:t>
      </w:r>
      <w:r w:rsidR="0086400B" w:rsidRPr="00A35634">
        <w:rPr>
          <w:sz w:val="24"/>
          <w:szCs w:val="24"/>
        </w:rPr>
        <w:t>Cette étude invite donc</w:t>
      </w:r>
      <w:r w:rsidR="00973F78" w:rsidRPr="00A35634">
        <w:rPr>
          <w:sz w:val="24"/>
          <w:szCs w:val="24"/>
        </w:rPr>
        <w:t xml:space="preserve"> également</w:t>
      </w:r>
      <w:r w:rsidR="00A37518" w:rsidRPr="00A35634">
        <w:rPr>
          <w:sz w:val="24"/>
          <w:szCs w:val="24"/>
        </w:rPr>
        <w:t xml:space="preserve"> à</w:t>
      </w:r>
      <w:r w:rsidR="0086400B" w:rsidRPr="00A35634">
        <w:rPr>
          <w:sz w:val="24"/>
          <w:szCs w:val="24"/>
        </w:rPr>
        <w:t xml:space="preserve"> une réflexion sur la fonction constitutive du langage juridique et de son rôle comme grammaire politique</w:t>
      </w:r>
      <w:r w:rsidR="00804DD9" w:rsidRPr="00A35634">
        <w:rPr>
          <w:sz w:val="24"/>
          <w:szCs w:val="24"/>
        </w:rPr>
        <w:t xml:space="preserve"> et sociale</w:t>
      </w:r>
      <w:r w:rsidR="0086400B" w:rsidRPr="00A35634">
        <w:rPr>
          <w:sz w:val="24"/>
          <w:szCs w:val="24"/>
        </w:rPr>
        <w:t>.</w:t>
      </w:r>
    </w:p>
    <w:p w14:paraId="3345CC3E" w14:textId="77777777" w:rsidR="00AC3525" w:rsidRDefault="00AC3525" w:rsidP="00791FF7">
      <w:pPr>
        <w:spacing w:line="360" w:lineRule="auto"/>
        <w:jc w:val="both"/>
        <w:rPr>
          <w:sz w:val="24"/>
          <w:szCs w:val="24"/>
        </w:rPr>
      </w:pPr>
    </w:p>
    <w:p w14:paraId="17B943F6" w14:textId="2062DA11" w:rsidR="00AC3525" w:rsidRDefault="00020F95" w:rsidP="00791FF7">
      <w:pPr>
        <w:spacing w:line="360" w:lineRule="auto"/>
        <w:jc w:val="both"/>
        <w:rPr>
          <w:sz w:val="24"/>
          <w:szCs w:val="24"/>
          <w:u w:val="single"/>
        </w:rPr>
      </w:pPr>
      <w:r>
        <w:rPr>
          <w:sz w:val="24"/>
          <w:szCs w:val="24"/>
          <w:u w:val="single"/>
        </w:rPr>
        <w:t>Projet d'études</w:t>
      </w:r>
      <w:r w:rsidR="00CE5BA0">
        <w:rPr>
          <w:sz w:val="24"/>
          <w:szCs w:val="24"/>
          <w:u w:val="single"/>
        </w:rPr>
        <w:t xml:space="preserve"> général</w:t>
      </w:r>
    </w:p>
    <w:p w14:paraId="0E0A2F27" w14:textId="6862AEBF" w:rsidR="00AC3525" w:rsidRPr="00AC3525" w:rsidRDefault="00021DE0" w:rsidP="00791FF7">
      <w:pPr>
        <w:spacing w:line="360" w:lineRule="auto"/>
        <w:jc w:val="both"/>
        <w:rPr>
          <w:sz w:val="24"/>
          <w:szCs w:val="24"/>
        </w:rPr>
      </w:pPr>
      <w:r>
        <w:rPr>
          <w:sz w:val="24"/>
          <w:szCs w:val="24"/>
        </w:rPr>
        <w:tab/>
        <w:t>Je</w:t>
      </w:r>
      <w:r w:rsidR="00AC3525">
        <w:rPr>
          <w:sz w:val="24"/>
          <w:szCs w:val="24"/>
        </w:rPr>
        <w:t xml:space="preserve"> suis convaincue </w:t>
      </w:r>
      <w:r w:rsidR="00FB1E04">
        <w:rPr>
          <w:sz w:val="24"/>
          <w:szCs w:val="24"/>
        </w:rPr>
        <w:t xml:space="preserve">que </w:t>
      </w:r>
      <w:r w:rsidR="00430423">
        <w:rPr>
          <w:sz w:val="24"/>
          <w:szCs w:val="24"/>
        </w:rPr>
        <w:t xml:space="preserve">la poursuite de ce </w:t>
      </w:r>
      <w:r w:rsidR="00FB1E04">
        <w:rPr>
          <w:sz w:val="24"/>
          <w:szCs w:val="24"/>
        </w:rPr>
        <w:t>projet de recherche bénéficiera</w:t>
      </w:r>
      <w:r w:rsidR="001150F9">
        <w:rPr>
          <w:sz w:val="24"/>
          <w:szCs w:val="24"/>
        </w:rPr>
        <w:t xml:space="preserve"> d</w:t>
      </w:r>
      <w:r w:rsidR="002B0685">
        <w:rPr>
          <w:sz w:val="24"/>
          <w:szCs w:val="24"/>
        </w:rPr>
        <w:t>es enseignements dispensés à</w:t>
      </w:r>
      <w:r w:rsidR="001150F9">
        <w:rPr>
          <w:sz w:val="24"/>
          <w:szCs w:val="24"/>
        </w:rPr>
        <w:t xml:space="preserve"> l'École normale supérieure</w:t>
      </w:r>
      <w:r w:rsidR="00CE5BA0">
        <w:rPr>
          <w:sz w:val="24"/>
          <w:szCs w:val="24"/>
        </w:rPr>
        <w:t>,</w:t>
      </w:r>
      <w:r w:rsidR="00103BD3">
        <w:rPr>
          <w:sz w:val="24"/>
          <w:szCs w:val="24"/>
        </w:rPr>
        <w:t xml:space="preserve"> </w:t>
      </w:r>
      <w:r w:rsidR="001272FD">
        <w:rPr>
          <w:sz w:val="24"/>
          <w:szCs w:val="24"/>
        </w:rPr>
        <w:t>tant</w:t>
      </w:r>
      <w:r w:rsidR="00430423">
        <w:rPr>
          <w:sz w:val="24"/>
          <w:szCs w:val="24"/>
        </w:rPr>
        <w:t xml:space="preserve"> dans le département de droit qu'à l'extérieur </w:t>
      </w:r>
      <w:r w:rsidR="001272FD">
        <w:rPr>
          <w:sz w:val="24"/>
          <w:szCs w:val="24"/>
        </w:rPr>
        <w:t xml:space="preserve">(grâce à </w:t>
      </w:r>
      <w:r w:rsidR="007B6036">
        <w:rPr>
          <w:sz w:val="24"/>
          <w:szCs w:val="24"/>
        </w:rPr>
        <w:t>des cou</w:t>
      </w:r>
      <w:r w:rsidR="00E156B1">
        <w:rPr>
          <w:sz w:val="24"/>
          <w:szCs w:val="24"/>
        </w:rPr>
        <w:t>rs d'histoire, par exemple). D</w:t>
      </w:r>
      <w:r w:rsidR="00430423">
        <w:rPr>
          <w:sz w:val="24"/>
          <w:szCs w:val="24"/>
        </w:rPr>
        <w:t xml:space="preserve">es cours </w:t>
      </w:r>
      <w:r w:rsidR="00E156B1">
        <w:rPr>
          <w:sz w:val="24"/>
          <w:szCs w:val="24"/>
        </w:rPr>
        <w:t xml:space="preserve">d'allemand </w:t>
      </w:r>
      <w:r w:rsidR="00430423">
        <w:rPr>
          <w:sz w:val="24"/>
          <w:szCs w:val="24"/>
        </w:rPr>
        <w:t xml:space="preserve">pourraient également s'avérer </w:t>
      </w:r>
      <w:r w:rsidR="00E156B1">
        <w:rPr>
          <w:sz w:val="24"/>
          <w:szCs w:val="24"/>
        </w:rPr>
        <w:t>fort utiles en raison de la foisonnante littérature en langue allemande</w:t>
      </w:r>
      <w:r w:rsidR="00AA4B4C">
        <w:rPr>
          <w:sz w:val="24"/>
          <w:szCs w:val="24"/>
        </w:rPr>
        <w:t xml:space="preserve"> sur l'histoire de l</w:t>
      </w:r>
      <w:r w:rsidR="00CE5BA0">
        <w:rPr>
          <w:sz w:val="24"/>
          <w:szCs w:val="24"/>
        </w:rPr>
        <w:t>a pensée juridique européenne. Avec leurs cours d'histoire de la pensée juridique et de théorie du droit, l</w:t>
      </w:r>
      <w:r w:rsidR="00AA4B4C">
        <w:rPr>
          <w:sz w:val="24"/>
          <w:szCs w:val="24"/>
        </w:rPr>
        <w:t>es programmes de Mas</w:t>
      </w:r>
      <w:r w:rsidR="00EB3C17">
        <w:rPr>
          <w:sz w:val="24"/>
          <w:szCs w:val="24"/>
        </w:rPr>
        <w:t>t</w:t>
      </w:r>
      <w:r w:rsidR="00AA4B4C">
        <w:rPr>
          <w:sz w:val="24"/>
          <w:szCs w:val="24"/>
        </w:rPr>
        <w:t xml:space="preserve">er 1 </w:t>
      </w:r>
      <w:r w:rsidR="00EB3C17">
        <w:rPr>
          <w:sz w:val="24"/>
          <w:szCs w:val="24"/>
        </w:rPr>
        <w:t xml:space="preserve">en « Droit comparé » </w:t>
      </w:r>
      <w:r w:rsidR="00AA4B4C">
        <w:rPr>
          <w:sz w:val="24"/>
          <w:szCs w:val="24"/>
        </w:rPr>
        <w:t>et</w:t>
      </w:r>
      <w:r w:rsidR="00EB3C17">
        <w:rPr>
          <w:sz w:val="24"/>
          <w:szCs w:val="24"/>
        </w:rPr>
        <w:t xml:space="preserve"> de</w:t>
      </w:r>
      <w:r w:rsidR="00AA4B4C">
        <w:rPr>
          <w:sz w:val="24"/>
          <w:szCs w:val="24"/>
        </w:rPr>
        <w:t xml:space="preserve"> Master 2 </w:t>
      </w:r>
      <w:r w:rsidR="00EB3C17">
        <w:rPr>
          <w:sz w:val="24"/>
          <w:szCs w:val="24"/>
        </w:rPr>
        <w:t>en « Théorie et a</w:t>
      </w:r>
      <w:r w:rsidR="00EB3C17" w:rsidRPr="00EB3C17">
        <w:rPr>
          <w:sz w:val="24"/>
          <w:szCs w:val="24"/>
        </w:rPr>
        <w:t>nalyse du Droit »</w:t>
      </w:r>
      <w:r w:rsidR="00EB3C17">
        <w:rPr>
          <w:sz w:val="24"/>
          <w:szCs w:val="24"/>
        </w:rPr>
        <w:t xml:space="preserve"> </w:t>
      </w:r>
      <w:r w:rsidR="00CE5BA0">
        <w:rPr>
          <w:sz w:val="24"/>
          <w:szCs w:val="24"/>
        </w:rPr>
        <w:t xml:space="preserve">me fourniront sans aucun doute les connaissances et les outils nécessaires pour pousser plus loin mes recherches. </w:t>
      </w:r>
      <w:r w:rsidR="00F70763">
        <w:rPr>
          <w:sz w:val="24"/>
          <w:szCs w:val="24"/>
        </w:rPr>
        <w:t>La</w:t>
      </w:r>
      <w:r w:rsidR="00FF63EB">
        <w:rPr>
          <w:sz w:val="24"/>
          <w:szCs w:val="24"/>
        </w:rPr>
        <w:t xml:space="preserve"> proximité avec le Centre de Théorie et Analyse du droit ainsi que le Centre d'études des normes juridiques</w:t>
      </w:r>
      <w:r w:rsidR="00836C34">
        <w:rPr>
          <w:sz w:val="24"/>
          <w:szCs w:val="24"/>
        </w:rPr>
        <w:t xml:space="preserve"> de l'É</w:t>
      </w:r>
      <w:r w:rsidR="00876F04">
        <w:rPr>
          <w:sz w:val="24"/>
          <w:szCs w:val="24"/>
        </w:rPr>
        <w:t>cole des H</w:t>
      </w:r>
      <w:r w:rsidR="00836C34">
        <w:rPr>
          <w:sz w:val="24"/>
          <w:szCs w:val="24"/>
        </w:rPr>
        <w:t>autes</w:t>
      </w:r>
      <w:r w:rsidR="00876F04">
        <w:rPr>
          <w:sz w:val="24"/>
          <w:szCs w:val="24"/>
        </w:rPr>
        <w:t xml:space="preserve"> Études en Sciences So</w:t>
      </w:r>
      <w:r w:rsidR="00836C34">
        <w:rPr>
          <w:sz w:val="24"/>
          <w:szCs w:val="24"/>
        </w:rPr>
        <w:t>ciales</w:t>
      </w:r>
      <w:r w:rsidR="00FB1D27">
        <w:rPr>
          <w:sz w:val="24"/>
          <w:szCs w:val="24"/>
        </w:rPr>
        <w:t xml:space="preserve"> s'avérera </w:t>
      </w:r>
      <w:r w:rsidR="00ED20AF">
        <w:rPr>
          <w:sz w:val="24"/>
          <w:szCs w:val="24"/>
        </w:rPr>
        <w:t>également fort profitable</w:t>
      </w:r>
      <w:r w:rsidR="004D6EAD">
        <w:rPr>
          <w:sz w:val="24"/>
          <w:szCs w:val="24"/>
        </w:rPr>
        <w:t>.</w:t>
      </w:r>
    </w:p>
    <w:p w14:paraId="18A277E6" w14:textId="552CCE77" w:rsidR="00192D4E" w:rsidRPr="00A35634" w:rsidRDefault="00192D4E">
      <w:pPr>
        <w:rPr>
          <w:b/>
          <w:sz w:val="24"/>
          <w:szCs w:val="24"/>
        </w:rPr>
      </w:pPr>
    </w:p>
    <w:p w14:paraId="49AFB42F" w14:textId="77777777" w:rsidR="00F72E7E" w:rsidRPr="00A35634" w:rsidRDefault="00F72E7E" w:rsidP="00791FF7">
      <w:pPr>
        <w:spacing w:line="360" w:lineRule="auto"/>
        <w:jc w:val="both"/>
        <w:rPr>
          <w:sz w:val="24"/>
          <w:szCs w:val="24"/>
        </w:rPr>
      </w:pPr>
    </w:p>
    <w:p w14:paraId="74A04264" w14:textId="00D10826" w:rsidR="00CB0C1F" w:rsidRPr="00A35634" w:rsidRDefault="00CB0C1F">
      <w:pPr>
        <w:rPr>
          <w:sz w:val="24"/>
          <w:szCs w:val="24"/>
        </w:rPr>
      </w:pPr>
      <w:r w:rsidRPr="00A35634">
        <w:rPr>
          <w:sz w:val="24"/>
          <w:szCs w:val="24"/>
        </w:rPr>
        <w:br w:type="page"/>
      </w:r>
    </w:p>
    <w:p w14:paraId="6E32457C" w14:textId="0A23B0D3" w:rsidR="00F72E7E" w:rsidRPr="00A35634" w:rsidRDefault="00AA736C" w:rsidP="00AA736C">
      <w:pPr>
        <w:spacing w:line="360" w:lineRule="auto"/>
        <w:jc w:val="center"/>
        <w:rPr>
          <w:b/>
          <w:sz w:val="24"/>
          <w:szCs w:val="24"/>
        </w:rPr>
      </w:pPr>
      <w:r w:rsidRPr="00A35634">
        <w:rPr>
          <w:b/>
          <w:sz w:val="24"/>
          <w:szCs w:val="24"/>
        </w:rPr>
        <w:lastRenderedPageBreak/>
        <w:t>Bibliographie du parcours intellectuel</w:t>
      </w:r>
    </w:p>
    <w:p w14:paraId="4FE64344" w14:textId="77777777" w:rsidR="00AA736C" w:rsidRPr="00A35634" w:rsidRDefault="00AA736C" w:rsidP="00514B65">
      <w:pPr>
        <w:spacing w:line="360" w:lineRule="auto"/>
        <w:jc w:val="both"/>
        <w:rPr>
          <w:b/>
          <w:sz w:val="24"/>
          <w:szCs w:val="24"/>
        </w:rPr>
      </w:pPr>
    </w:p>
    <w:p w14:paraId="06CEC079" w14:textId="7C101AF9" w:rsidR="00D72C84" w:rsidRPr="00A35634" w:rsidRDefault="00D72C84" w:rsidP="00514B65">
      <w:pPr>
        <w:jc w:val="both"/>
        <w:rPr>
          <w:sz w:val="24"/>
          <w:szCs w:val="24"/>
          <w:lang w:val="fr-CA"/>
        </w:rPr>
      </w:pPr>
      <w:proofErr w:type="spellStart"/>
      <w:r w:rsidRPr="00A35634">
        <w:rPr>
          <w:sz w:val="24"/>
          <w:szCs w:val="24"/>
          <w:lang w:val="fr-CA"/>
        </w:rPr>
        <w:t>Agamben</w:t>
      </w:r>
      <w:proofErr w:type="spellEnd"/>
      <w:r w:rsidRPr="00A35634">
        <w:rPr>
          <w:sz w:val="24"/>
          <w:szCs w:val="24"/>
          <w:lang w:val="fr-CA"/>
        </w:rPr>
        <w:t xml:space="preserve">, Giorgio. </w:t>
      </w:r>
      <w:r w:rsidRPr="00A35634">
        <w:rPr>
          <w:i/>
          <w:sz w:val="24"/>
          <w:szCs w:val="24"/>
          <w:lang w:val="fr-CA"/>
        </w:rPr>
        <w:t xml:space="preserve">Homo </w:t>
      </w:r>
      <w:proofErr w:type="spellStart"/>
      <w:r w:rsidRPr="00A35634">
        <w:rPr>
          <w:i/>
          <w:sz w:val="24"/>
          <w:szCs w:val="24"/>
          <w:lang w:val="fr-CA"/>
        </w:rPr>
        <w:t>sacer</w:t>
      </w:r>
      <w:proofErr w:type="spellEnd"/>
      <w:r w:rsidRPr="00A35634">
        <w:rPr>
          <w:i/>
          <w:sz w:val="24"/>
          <w:szCs w:val="24"/>
          <w:lang w:val="fr-CA"/>
        </w:rPr>
        <w:t> : le pouvoir souverain et la vie nue</w:t>
      </w:r>
      <w:r w:rsidRPr="00A35634">
        <w:rPr>
          <w:sz w:val="24"/>
          <w:szCs w:val="24"/>
          <w:lang w:val="fr-CA"/>
        </w:rPr>
        <w:t xml:space="preserve">, Paris, Seuil, 1997. </w:t>
      </w:r>
    </w:p>
    <w:p w14:paraId="7BC63029" w14:textId="77777777" w:rsidR="00A549B2" w:rsidRPr="00A35634" w:rsidRDefault="00A549B2" w:rsidP="00514B65">
      <w:pPr>
        <w:jc w:val="both"/>
        <w:rPr>
          <w:sz w:val="24"/>
          <w:szCs w:val="24"/>
          <w:lang w:val="fr-CA"/>
        </w:rPr>
      </w:pPr>
    </w:p>
    <w:p w14:paraId="10E7B420" w14:textId="40B90158" w:rsidR="00D72C84" w:rsidRPr="00A35634" w:rsidRDefault="00D72C84" w:rsidP="00514B65">
      <w:pPr>
        <w:jc w:val="both"/>
        <w:rPr>
          <w:sz w:val="24"/>
          <w:szCs w:val="24"/>
          <w:lang w:val="fr-CA"/>
        </w:rPr>
      </w:pPr>
      <w:r w:rsidRPr="00A35634">
        <w:rPr>
          <w:sz w:val="24"/>
          <w:szCs w:val="24"/>
          <w:lang w:val="fr-CA"/>
        </w:rPr>
        <w:t xml:space="preserve">Borges, Jorge Luis. </w:t>
      </w:r>
      <w:r w:rsidRPr="00A35634">
        <w:rPr>
          <w:i/>
          <w:sz w:val="24"/>
          <w:szCs w:val="24"/>
          <w:lang w:val="fr-CA"/>
        </w:rPr>
        <w:t>Fictions</w:t>
      </w:r>
      <w:r w:rsidRPr="00A35634">
        <w:rPr>
          <w:sz w:val="24"/>
          <w:szCs w:val="24"/>
          <w:lang w:val="fr-CA"/>
        </w:rPr>
        <w:t xml:space="preserve">, traduit par P. </w:t>
      </w:r>
      <w:proofErr w:type="spellStart"/>
      <w:r w:rsidRPr="00A35634">
        <w:rPr>
          <w:sz w:val="24"/>
          <w:szCs w:val="24"/>
          <w:lang w:val="fr-CA"/>
        </w:rPr>
        <w:t>Verdevoye</w:t>
      </w:r>
      <w:proofErr w:type="spellEnd"/>
      <w:r w:rsidRPr="00A35634">
        <w:rPr>
          <w:sz w:val="24"/>
          <w:szCs w:val="24"/>
          <w:lang w:val="fr-CA"/>
        </w:rPr>
        <w:t xml:space="preserve"> et N. Ibarra, Paris, Gallimard, 1951. </w:t>
      </w:r>
    </w:p>
    <w:p w14:paraId="0840E8D5" w14:textId="77777777" w:rsidR="00EE22DF" w:rsidRPr="00A35634" w:rsidRDefault="00EE22DF" w:rsidP="00514B65">
      <w:pPr>
        <w:jc w:val="both"/>
        <w:rPr>
          <w:sz w:val="24"/>
          <w:szCs w:val="24"/>
          <w:lang w:val="fr-CA"/>
        </w:rPr>
      </w:pPr>
    </w:p>
    <w:p w14:paraId="3D30E0DC" w14:textId="16A1B5BF" w:rsidR="00EE22DF" w:rsidRPr="00A35634" w:rsidRDefault="00EE22DF" w:rsidP="00514B65">
      <w:pPr>
        <w:jc w:val="both"/>
        <w:rPr>
          <w:sz w:val="24"/>
          <w:szCs w:val="24"/>
          <w:lang w:val="fr-CA"/>
        </w:rPr>
      </w:pPr>
      <w:r w:rsidRPr="00A35634">
        <w:rPr>
          <w:sz w:val="24"/>
          <w:szCs w:val="24"/>
          <w:lang w:val="fr-CA"/>
        </w:rPr>
        <w:t xml:space="preserve">Bourdieu, Pierre. </w:t>
      </w:r>
      <w:r w:rsidRPr="00A35634">
        <w:rPr>
          <w:i/>
          <w:sz w:val="24"/>
          <w:szCs w:val="24"/>
          <w:lang w:val="fr-CA"/>
        </w:rPr>
        <w:t>La force du droit : éléments pour une sociologie du champ juridique</w:t>
      </w:r>
      <w:r w:rsidRPr="00A35634">
        <w:rPr>
          <w:sz w:val="24"/>
          <w:szCs w:val="24"/>
          <w:lang w:val="fr-CA"/>
        </w:rPr>
        <w:t xml:space="preserve"> (1986) 64 Actes de la recherche en Sciences Sociales 3. </w:t>
      </w:r>
    </w:p>
    <w:p w14:paraId="51A0A708" w14:textId="77777777" w:rsidR="00EE22DF" w:rsidRPr="00A35634" w:rsidRDefault="00EE22DF" w:rsidP="00514B65">
      <w:pPr>
        <w:jc w:val="both"/>
        <w:rPr>
          <w:sz w:val="24"/>
          <w:szCs w:val="24"/>
          <w:lang w:val="fr-CA"/>
        </w:rPr>
      </w:pPr>
    </w:p>
    <w:p w14:paraId="1B34AF6E" w14:textId="01A01783" w:rsidR="00EE22DF" w:rsidRPr="00A35634" w:rsidRDefault="00EE22DF" w:rsidP="00514B65">
      <w:pPr>
        <w:jc w:val="both"/>
        <w:rPr>
          <w:sz w:val="24"/>
          <w:szCs w:val="24"/>
          <w:lang w:val="fr-CA"/>
        </w:rPr>
      </w:pPr>
      <w:r w:rsidRPr="00A35634">
        <w:rPr>
          <w:sz w:val="24"/>
          <w:szCs w:val="24"/>
          <w:lang w:val="fr-CA"/>
        </w:rPr>
        <w:t xml:space="preserve">Foucault, Michel. « La vérité et les formes juridiques », reproduit dans </w:t>
      </w:r>
      <w:r w:rsidRPr="00A35634">
        <w:rPr>
          <w:i/>
          <w:sz w:val="24"/>
          <w:szCs w:val="24"/>
          <w:lang w:val="fr-CA"/>
        </w:rPr>
        <w:t>Dits et écrits (1954-1988), vol II (1960-1975)</w:t>
      </w:r>
      <w:r w:rsidRPr="00A35634">
        <w:rPr>
          <w:sz w:val="24"/>
          <w:szCs w:val="24"/>
          <w:lang w:val="fr-CA"/>
        </w:rPr>
        <w:t xml:space="preserve">, Paris, Gallimard, </w:t>
      </w:r>
      <w:r w:rsidR="00205C13" w:rsidRPr="00A35634">
        <w:rPr>
          <w:sz w:val="24"/>
          <w:szCs w:val="24"/>
          <w:lang w:val="fr-CA"/>
        </w:rPr>
        <w:t xml:space="preserve">1994, 538. </w:t>
      </w:r>
    </w:p>
    <w:p w14:paraId="0D92B940" w14:textId="77777777" w:rsidR="007354AD" w:rsidRPr="00A35634" w:rsidRDefault="007354AD" w:rsidP="00514B65">
      <w:pPr>
        <w:jc w:val="both"/>
        <w:rPr>
          <w:sz w:val="24"/>
          <w:szCs w:val="24"/>
          <w:lang w:val="fr-CA"/>
        </w:rPr>
      </w:pPr>
    </w:p>
    <w:p w14:paraId="50D9966E" w14:textId="3EFFADE1" w:rsidR="007354AD" w:rsidRPr="004D6EAD" w:rsidRDefault="007354AD" w:rsidP="00514B65">
      <w:pPr>
        <w:jc w:val="both"/>
        <w:rPr>
          <w:sz w:val="24"/>
          <w:szCs w:val="24"/>
          <w:lang w:val="en-US"/>
        </w:rPr>
      </w:pPr>
      <w:r w:rsidRPr="004D6EAD">
        <w:rPr>
          <w:sz w:val="24"/>
          <w:szCs w:val="24"/>
          <w:lang w:val="en-US"/>
        </w:rPr>
        <w:t xml:space="preserve">Hobbes, Thomas. </w:t>
      </w:r>
      <w:r w:rsidRPr="004D6EAD">
        <w:rPr>
          <w:i/>
          <w:sz w:val="24"/>
          <w:szCs w:val="24"/>
          <w:lang w:val="en-US"/>
        </w:rPr>
        <w:t>Leviathan</w:t>
      </w:r>
      <w:r w:rsidR="008444F6" w:rsidRPr="004D6EAD">
        <w:rPr>
          <w:sz w:val="24"/>
          <w:szCs w:val="24"/>
          <w:lang w:val="en-US"/>
        </w:rPr>
        <w:t xml:space="preserve">, </w:t>
      </w:r>
      <w:proofErr w:type="spellStart"/>
      <w:r w:rsidR="008444F6" w:rsidRPr="004D6EAD">
        <w:rPr>
          <w:sz w:val="24"/>
          <w:szCs w:val="24"/>
          <w:lang w:val="en-US"/>
        </w:rPr>
        <w:t>éd</w:t>
      </w:r>
      <w:proofErr w:type="spellEnd"/>
      <w:r w:rsidR="008444F6" w:rsidRPr="004D6EAD">
        <w:rPr>
          <w:sz w:val="24"/>
          <w:szCs w:val="24"/>
          <w:lang w:val="en-US"/>
        </w:rPr>
        <w:t xml:space="preserve"> par Edwin Curley, Indianapolis, Hackett, 1994.</w:t>
      </w:r>
    </w:p>
    <w:p w14:paraId="71BE6C13" w14:textId="77777777" w:rsidR="008444F6" w:rsidRPr="004D6EAD" w:rsidRDefault="008444F6" w:rsidP="00514B65">
      <w:pPr>
        <w:jc w:val="both"/>
        <w:rPr>
          <w:sz w:val="24"/>
          <w:szCs w:val="24"/>
          <w:lang w:val="en-US"/>
        </w:rPr>
      </w:pPr>
    </w:p>
    <w:p w14:paraId="3144FEDA" w14:textId="652F29E4" w:rsidR="008444F6" w:rsidRPr="004D6EAD" w:rsidRDefault="006F021F" w:rsidP="00514B65">
      <w:pPr>
        <w:jc w:val="both"/>
        <w:rPr>
          <w:sz w:val="24"/>
          <w:szCs w:val="24"/>
          <w:lang w:val="en-US"/>
        </w:rPr>
      </w:pPr>
      <w:r w:rsidRPr="004D6EAD">
        <w:rPr>
          <w:sz w:val="24"/>
          <w:szCs w:val="24"/>
          <w:lang w:val="en-US"/>
        </w:rPr>
        <w:t xml:space="preserve">Maitland, F. W. </w:t>
      </w:r>
      <w:r w:rsidRPr="004D6EAD">
        <w:rPr>
          <w:i/>
          <w:sz w:val="24"/>
          <w:szCs w:val="24"/>
          <w:lang w:val="en-US"/>
        </w:rPr>
        <w:t>State, Trust and Corporation</w:t>
      </w:r>
      <w:r w:rsidRPr="004D6EAD">
        <w:rPr>
          <w:sz w:val="24"/>
          <w:szCs w:val="24"/>
          <w:lang w:val="en-US"/>
        </w:rPr>
        <w:t xml:space="preserve">, </w:t>
      </w:r>
      <w:proofErr w:type="spellStart"/>
      <w:r w:rsidRPr="004D6EAD">
        <w:rPr>
          <w:sz w:val="24"/>
          <w:szCs w:val="24"/>
          <w:lang w:val="en-US"/>
        </w:rPr>
        <w:t>éd</w:t>
      </w:r>
      <w:proofErr w:type="spellEnd"/>
      <w:r w:rsidRPr="004D6EAD">
        <w:rPr>
          <w:sz w:val="24"/>
          <w:szCs w:val="24"/>
          <w:lang w:val="en-US"/>
        </w:rPr>
        <w:t xml:space="preserve"> par David Runciman et Magnus Ryan, Cambridge, </w:t>
      </w:r>
      <w:proofErr w:type="spellStart"/>
      <w:r w:rsidRPr="004D6EAD">
        <w:rPr>
          <w:sz w:val="24"/>
          <w:szCs w:val="24"/>
          <w:lang w:val="en-US"/>
        </w:rPr>
        <w:t>Camridge</w:t>
      </w:r>
      <w:proofErr w:type="spellEnd"/>
      <w:r w:rsidRPr="004D6EAD">
        <w:rPr>
          <w:sz w:val="24"/>
          <w:szCs w:val="24"/>
          <w:lang w:val="en-US"/>
        </w:rPr>
        <w:t xml:space="preserve"> University Press, 2003. </w:t>
      </w:r>
    </w:p>
    <w:p w14:paraId="5FDA03CB" w14:textId="77777777" w:rsidR="009F4A80" w:rsidRPr="004D6EAD" w:rsidRDefault="009F4A80" w:rsidP="00514B65">
      <w:pPr>
        <w:jc w:val="both"/>
        <w:rPr>
          <w:sz w:val="24"/>
          <w:szCs w:val="24"/>
          <w:lang w:val="en-US"/>
        </w:rPr>
      </w:pPr>
    </w:p>
    <w:p w14:paraId="49D07C6E" w14:textId="60E760B4" w:rsidR="009F4A80" w:rsidRPr="00A35634" w:rsidRDefault="009F4A80" w:rsidP="00514B65">
      <w:pPr>
        <w:jc w:val="both"/>
        <w:rPr>
          <w:sz w:val="24"/>
          <w:szCs w:val="24"/>
          <w:lang w:val="fr-CA"/>
        </w:rPr>
      </w:pPr>
      <w:proofErr w:type="spellStart"/>
      <w:r w:rsidRPr="00A35634">
        <w:rPr>
          <w:sz w:val="24"/>
          <w:szCs w:val="24"/>
          <w:lang w:val="fr-CA"/>
        </w:rPr>
        <w:t>Manguel</w:t>
      </w:r>
      <w:proofErr w:type="spellEnd"/>
      <w:r w:rsidRPr="00A35634">
        <w:rPr>
          <w:sz w:val="24"/>
          <w:szCs w:val="24"/>
          <w:lang w:val="fr-CA"/>
        </w:rPr>
        <w:t xml:space="preserve">, Alberto. </w:t>
      </w:r>
      <w:r w:rsidRPr="00A35634">
        <w:rPr>
          <w:i/>
          <w:sz w:val="24"/>
          <w:szCs w:val="24"/>
          <w:lang w:val="fr-CA"/>
        </w:rPr>
        <w:t>La bibliothèque, la nuit</w:t>
      </w:r>
      <w:r w:rsidRPr="00A35634">
        <w:rPr>
          <w:sz w:val="24"/>
          <w:szCs w:val="24"/>
          <w:lang w:val="fr-CA"/>
        </w:rPr>
        <w:t xml:space="preserve">, traduit par Christine Le </w:t>
      </w:r>
      <w:proofErr w:type="spellStart"/>
      <w:r w:rsidRPr="00A35634">
        <w:rPr>
          <w:sz w:val="24"/>
          <w:szCs w:val="24"/>
          <w:lang w:val="fr-CA"/>
        </w:rPr>
        <w:t>Boeuf</w:t>
      </w:r>
      <w:proofErr w:type="spellEnd"/>
      <w:r w:rsidRPr="00A35634">
        <w:rPr>
          <w:sz w:val="24"/>
          <w:szCs w:val="24"/>
          <w:lang w:val="fr-CA"/>
        </w:rPr>
        <w:t>, Paris, Actes Sud, 2006.</w:t>
      </w:r>
    </w:p>
    <w:p w14:paraId="559F0F89" w14:textId="77777777" w:rsidR="00144B20" w:rsidRPr="00A35634" w:rsidRDefault="00144B20" w:rsidP="00514B65">
      <w:pPr>
        <w:jc w:val="both"/>
        <w:rPr>
          <w:sz w:val="24"/>
          <w:szCs w:val="24"/>
          <w:lang w:val="fr-CA"/>
        </w:rPr>
      </w:pPr>
    </w:p>
    <w:p w14:paraId="2DDA2555" w14:textId="10F44A30" w:rsidR="00D72C84" w:rsidRPr="00A35634" w:rsidRDefault="00D72C84" w:rsidP="00514B65">
      <w:pPr>
        <w:jc w:val="both"/>
        <w:rPr>
          <w:sz w:val="24"/>
          <w:szCs w:val="24"/>
          <w:lang w:val="fr-CA"/>
        </w:rPr>
      </w:pPr>
      <w:r w:rsidRPr="00A35634">
        <w:rPr>
          <w:sz w:val="24"/>
          <w:szCs w:val="24"/>
          <w:lang w:val="fr-CA"/>
        </w:rPr>
        <w:t xml:space="preserve">Platon. </w:t>
      </w:r>
      <w:r w:rsidRPr="00A35634">
        <w:rPr>
          <w:i/>
          <w:sz w:val="24"/>
          <w:szCs w:val="24"/>
          <w:lang w:val="fr-CA"/>
        </w:rPr>
        <w:t>La République</w:t>
      </w:r>
      <w:r w:rsidRPr="00A35634">
        <w:rPr>
          <w:sz w:val="24"/>
          <w:szCs w:val="24"/>
          <w:lang w:val="fr-CA"/>
        </w:rPr>
        <w:t>, 2</w:t>
      </w:r>
      <w:r w:rsidRPr="00A35634">
        <w:rPr>
          <w:sz w:val="24"/>
          <w:szCs w:val="24"/>
          <w:vertAlign w:val="superscript"/>
          <w:lang w:val="fr-CA"/>
        </w:rPr>
        <w:t>e</w:t>
      </w:r>
      <w:r w:rsidRPr="00A35634">
        <w:rPr>
          <w:sz w:val="24"/>
          <w:szCs w:val="24"/>
          <w:lang w:val="fr-CA"/>
        </w:rPr>
        <w:t xml:space="preserve"> éd, traduit par Georges Leroux, Paris, Flammarion, 2002.</w:t>
      </w:r>
    </w:p>
    <w:p w14:paraId="25CE7709" w14:textId="77777777" w:rsidR="00446B53" w:rsidRPr="00A35634" w:rsidRDefault="00446B53" w:rsidP="00514B65">
      <w:pPr>
        <w:jc w:val="both"/>
        <w:rPr>
          <w:sz w:val="24"/>
          <w:szCs w:val="24"/>
          <w:lang w:val="fr-CA"/>
        </w:rPr>
      </w:pPr>
    </w:p>
    <w:p w14:paraId="7CB952FB" w14:textId="55E35723" w:rsidR="00446B53" w:rsidRPr="00A35634" w:rsidRDefault="00446B53" w:rsidP="00514B65">
      <w:pPr>
        <w:jc w:val="both"/>
        <w:rPr>
          <w:sz w:val="24"/>
          <w:szCs w:val="24"/>
          <w:lang w:val="fr-CA"/>
        </w:rPr>
      </w:pPr>
      <w:r w:rsidRPr="00A35634">
        <w:rPr>
          <w:sz w:val="24"/>
          <w:szCs w:val="24"/>
          <w:lang w:val="fr-CA"/>
        </w:rPr>
        <w:t>Savigny</w:t>
      </w:r>
      <w:r w:rsidR="008D28A2" w:rsidRPr="00A35634">
        <w:rPr>
          <w:sz w:val="24"/>
          <w:szCs w:val="24"/>
          <w:lang w:val="fr-CA"/>
        </w:rPr>
        <w:t>, Friedrich Carl von</w:t>
      </w:r>
      <w:r w:rsidR="007354AD" w:rsidRPr="00A35634">
        <w:rPr>
          <w:sz w:val="24"/>
          <w:szCs w:val="24"/>
          <w:lang w:val="fr-CA"/>
        </w:rPr>
        <w:t xml:space="preserve">. </w:t>
      </w:r>
      <w:r w:rsidR="007354AD" w:rsidRPr="00A35634">
        <w:rPr>
          <w:i/>
          <w:sz w:val="24"/>
          <w:szCs w:val="24"/>
          <w:lang w:val="fr-CA"/>
        </w:rPr>
        <w:t>De la vocation de notre temps pour la législation et la science du droit</w:t>
      </w:r>
      <w:r w:rsidR="007354AD" w:rsidRPr="00A35634">
        <w:rPr>
          <w:sz w:val="24"/>
          <w:szCs w:val="24"/>
          <w:lang w:val="fr-CA"/>
        </w:rPr>
        <w:t>, traduit par Alfred Dufour, Paris, Presses Universitaires de France, 2006.</w:t>
      </w:r>
    </w:p>
    <w:p w14:paraId="24D70147" w14:textId="77777777" w:rsidR="00D72C84" w:rsidRPr="00A35634" w:rsidRDefault="00D72C84" w:rsidP="00514B65">
      <w:pPr>
        <w:jc w:val="both"/>
        <w:rPr>
          <w:sz w:val="24"/>
          <w:szCs w:val="24"/>
          <w:lang w:val="fr-CA"/>
        </w:rPr>
      </w:pPr>
    </w:p>
    <w:p w14:paraId="5223E0AC" w14:textId="6BBA7A68" w:rsidR="00144B20" w:rsidRPr="00A35634" w:rsidRDefault="00144B20" w:rsidP="00514B65">
      <w:pPr>
        <w:jc w:val="both"/>
        <w:rPr>
          <w:sz w:val="24"/>
          <w:szCs w:val="24"/>
          <w:lang w:val="fr-CA"/>
        </w:rPr>
      </w:pPr>
      <w:r w:rsidRPr="00A35634">
        <w:rPr>
          <w:sz w:val="24"/>
          <w:szCs w:val="24"/>
          <w:lang w:val="fr-CA"/>
        </w:rPr>
        <w:t xml:space="preserve">Weber, Max. </w:t>
      </w:r>
      <w:r w:rsidRPr="00A35634">
        <w:rPr>
          <w:i/>
          <w:sz w:val="24"/>
          <w:szCs w:val="24"/>
          <w:lang w:val="fr-CA"/>
        </w:rPr>
        <w:t>Sociologie du droit</w:t>
      </w:r>
      <w:r w:rsidRPr="00A35634">
        <w:rPr>
          <w:sz w:val="24"/>
          <w:szCs w:val="24"/>
          <w:lang w:val="fr-CA"/>
        </w:rPr>
        <w:t>,</w:t>
      </w:r>
      <w:r w:rsidR="00082AF5" w:rsidRPr="00A35634">
        <w:rPr>
          <w:sz w:val="24"/>
          <w:szCs w:val="24"/>
          <w:lang w:val="fr-CA"/>
        </w:rPr>
        <w:t xml:space="preserve"> 2</w:t>
      </w:r>
      <w:r w:rsidR="00082AF5" w:rsidRPr="00A35634">
        <w:rPr>
          <w:sz w:val="24"/>
          <w:szCs w:val="24"/>
          <w:vertAlign w:val="superscript"/>
          <w:lang w:val="fr-CA"/>
        </w:rPr>
        <w:t>e</w:t>
      </w:r>
      <w:r w:rsidR="00082AF5" w:rsidRPr="00A35634">
        <w:rPr>
          <w:sz w:val="24"/>
          <w:szCs w:val="24"/>
          <w:lang w:val="fr-CA"/>
        </w:rPr>
        <w:t xml:space="preserve"> éd,</w:t>
      </w:r>
      <w:r w:rsidRPr="00A35634">
        <w:rPr>
          <w:sz w:val="24"/>
          <w:szCs w:val="24"/>
          <w:lang w:val="fr-CA"/>
        </w:rPr>
        <w:t xml:space="preserve"> </w:t>
      </w:r>
      <w:r w:rsidR="00082AF5" w:rsidRPr="00A35634">
        <w:rPr>
          <w:sz w:val="24"/>
          <w:szCs w:val="24"/>
          <w:lang w:val="fr-CA"/>
        </w:rPr>
        <w:t xml:space="preserve">traduit par Jacques </w:t>
      </w:r>
      <w:proofErr w:type="spellStart"/>
      <w:r w:rsidR="00082AF5" w:rsidRPr="00A35634">
        <w:rPr>
          <w:sz w:val="24"/>
          <w:szCs w:val="24"/>
          <w:lang w:val="fr-CA"/>
        </w:rPr>
        <w:t>Grosclaude</w:t>
      </w:r>
      <w:proofErr w:type="spellEnd"/>
      <w:r w:rsidR="00082AF5" w:rsidRPr="00A35634">
        <w:rPr>
          <w:sz w:val="24"/>
          <w:szCs w:val="24"/>
          <w:lang w:val="fr-CA"/>
        </w:rPr>
        <w:t>, Paris, Presses universitaires de France, 2013.</w:t>
      </w:r>
    </w:p>
    <w:p w14:paraId="6BF6CD9B" w14:textId="77777777" w:rsidR="00082AF5" w:rsidRPr="00A35634" w:rsidRDefault="00082AF5" w:rsidP="005A719C">
      <w:pPr>
        <w:rPr>
          <w:sz w:val="24"/>
          <w:szCs w:val="24"/>
          <w:lang w:val="fr-CA"/>
        </w:rPr>
      </w:pPr>
    </w:p>
    <w:p w14:paraId="431FF5EE" w14:textId="77777777" w:rsidR="00F72E7E" w:rsidRPr="00A35634" w:rsidRDefault="00F72E7E" w:rsidP="00791FF7">
      <w:pPr>
        <w:spacing w:line="360" w:lineRule="auto"/>
        <w:jc w:val="both"/>
        <w:rPr>
          <w:sz w:val="24"/>
          <w:szCs w:val="24"/>
        </w:rPr>
      </w:pPr>
    </w:p>
    <w:p w14:paraId="04633487" w14:textId="77777777" w:rsidR="00F72E7E" w:rsidRPr="00A35634" w:rsidRDefault="00F72E7E" w:rsidP="00791FF7">
      <w:pPr>
        <w:spacing w:line="360" w:lineRule="auto"/>
        <w:jc w:val="both"/>
        <w:rPr>
          <w:sz w:val="24"/>
          <w:szCs w:val="24"/>
        </w:rPr>
      </w:pPr>
    </w:p>
    <w:p w14:paraId="54FBBECB" w14:textId="77777777" w:rsidR="006F021F" w:rsidRPr="00A35634" w:rsidRDefault="006F021F" w:rsidP="00791FF7">
      <w:pPr>
        <w:spacing w:line="360" w:lineRule="auto"/>
        <w:jc w:val="both"/>
        <w:rPr>
          <w:sz w:val="24"/>
          <w:szCs w:val="24"/>
        </w:rPr>
      </w:pPr>
    </w:p>
    <w:p w14:paraId="58D35DCB" w14:textId="77777777" w:rsidR="006F021F" w:rsidRPr="00A35634" w:rsidRDefault="006F021F" w:rsidP="00791FF7">
      <w:pPr>
        <w:spacing w:line="360" w:lineRule="auto"/>
        <w:jc w:val="both"/>
        <w:rPr>
          <w:sz w:val="24"/>
          <w:szCs w:val="24"/>
        </w:rPr>
      </w:pPr>
    </w:p>
    <w:p w14:paraId="3FC20BBD" w14:textId="77777777" w:rsidR="006F021F" w:rsidRPr="00A35634" w:rsidRDefault="006F021F" w:rsidP="00791FF7">
      <w:pPr>
        <w:spacing w:line="360" w:lineRule="auto"/>
        <w:jc w:val="both"/>
        <w:rPr>
          <w:sz w:val="24"/>
          <w:szCs w:val="24"/>
        </w:rPr>
      </w:pPr>
    </w:p>
    <w:p w14:paraId="12492715" w14:textId="77777777" w:rsidR="006F021F" w:rsidRPr="00A35634" w:rsidRDefault="006F021F" w:rsidP="00791FF7">
      <w:pPr>
        <w:spacing w:line="360" w:lineRule="auto"/>
        <w:jc w:val="both"/>
        <w:rPr>
          <w:sz w:val="24"/>
          <w:szCs w:val="24"/>
        </w:rPr>
      </w:pPr>
    </w:p>
    <w:p w14:paraId="1B6D06CE" w14:textId="77777777" w:rsidR="006F021F" w:rsidRPr="00A35634" w:rsidRDefault="006F021F" w:rsidP="00791FF7">
      <w:pPr>
        <w:spacing w:line="360" w:lineRule="auto"/>
        <w:jc w:val="both"/>
        <w:rPr>
          <w:sz w:val="24"/>
          <w:szCs w:val="24"/>
        </w:rPr>
      </w:pPr>
    </w:p>
    <w:p w14:paraId="40AACCD3" w14:textId="77777777" w:rsidR="006F021F" w:rsidRPr="00A35634" w:rsidRDefault="006F021F" w:rsidP="00791FF7">
      <w:pPr>
        <w:spacing w:line="360" w:lineRule="auto"/>
        <w:jc w:val="both"/>
        <w:rPr>
          <w:sz w:val="24"/>
          <w:szCs w:val="24"/>
        </w:rPr>
      </w:pPr>
    </w:p>
    <w:p w14:paraId="73809922" w14:textId="77777777" w:rsidR="006F021F" w:rsidRPr="00A35634" w:rsidRDefault="006F021F" w:rsidP="00791FF7">
      <w:pPr>
        <w:spacing w:line="360" w:lineRule="auto"/>
        <w:jc w:val="both"/>
        <w:rPr>
          <w:sz w:val="24"/>
          <w:szCs w:val="24"/>
        </w:rPr>
      </w:pPr>
    </w:p>
    <w:p w14:paraId="6879CF06" w14:textId="77777777" w:rsidR="006F021F" w:rsidRPr="00A35634" w:rsidRDefault="006F021F" w:rsidP="00791FF7">
      <w:pPr>
        <w:spacing w:line="360" w:lineRule="auto"/>
        <w:jc w:val="both"/>
        <w:rPr>
          <w:sz w:val="24"/>
          <w:szCs w:val="24"/>
        </w:rPr>
      </w:pPr>
    </w:p>
    <w:p w14:paraId="61C06471" w14:textId="77777777" w:rsidR="006F021F" w:rsidRPr="00A35634" w:rsidRDefault="006F021F" w:rsidP="00791FF7">
      <w:pPr>
        <w:spacing w:line="360" w:lineRule="auto"/>
        <w:jc w:val="both"/>
        <w:rPr>
          <w:sz w:val="24"/>
          <w:szCs w:val="24"/>
        </w:rPr>
      </w:pPr>
    </w:p>
    <w:p w14:paraId="48847220" w14:textId="77777777" w:rsidR="006F021F" w:rsidRPr="00A35634" w:rsidRDefault="006F021F" w:rsidP="00791FF7">
      <w:pPr>
        <w:spacing w:line="360" w:lineRule="auto"/>
        <w:jc w:val="both"/>
        <w:rPr>
          <w:sz w:val="24"/>
          <w:szCs w:val="24"/>
        </w:rPr>
      </w:pPr>
    </w:p>
    <w:p w14:paraId="57801F21" w14:textId="77777777" w:rsidR="006F021F" w:rsidRPr="00A35634" w:rsidRDefault="006F021F" w:rsidP="00791FF7">
      <w:pPr>
        <w:spacing w:line="360" w:lineRule="auto"/>
        <w:jc w:val="both"/>
        <w:rPr>
          <w:sz w:val="24"/>
          <w:szCs w:val="24"/>
        </w:rPr>
      </w:pPr>
    </w:p>
    <w:sectPr w:rsidR="006F021F" w:rsidRPr="00A35634" w:rsidSect="00240460">
      <w:headerReference w:type="default" r:id="rId7"/>
      <w:footerReference w:type="even" r:id="rId8"/>
      <w:footerReference w:type="default" r:id="rId9"/>
      <w:endnotePr>
        <w:numFmt w:val="chicago"/>
      </w:endnotePr>
      <w:pgSz w:w="12240" w:h="15840"/>
      <w:pgMar w:top="709" w:right="709" w:bottom="83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DE06" w14:textId="77777777" w:rsidR="00240460" w:rsidRDefault="00240460" w:rsidP="00C83FF8">
      <w:r>
        <w:separator/>
      </w:r>
    </w:p>
  </w:endnote>
  <w:endnote w:type="continuationSeparator" w:id="0">
    <w:p w14:paraId="6BCE05F8" w14:textId="77777777" w:rsidR="00240460" w:rsidRDefault="00240460" w:rsidP="00C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ACDC" w14:textId="77777777" w:rsidR="00881EA6" w:rsidRDefault="00881EA6" w:rsidP="0077349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A08645A" w14:textId="77777777" w:rsidR="00881EA6" w:rsidRDefault="00881E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4E8F" w14:textId="77777777" w:rsidR="00881EA6" w:rsidRPr="00A75F9C" w:rsidRDefault="00881EA6" w:rsidP="0077349B">
    <w:pPr>
      <w:pStyle w:val="Pieddepage"/>
      <w:framePr w:wrap="none" w:vAnchor="text" w:hAnchor="margin" w:xAlign="center" w:y="1"/>
      <w:rPr>
        <w:rStyle w:val="Numrodepage"/>
        <w:sz w:val="20"/>
        <w:szCs w:val="20"/>
      </w:rPr>
    </w:pPr>
    <w:r w:rsidRPr="00A75F9C">
      <w:rPr>
        <w:rStyle w:val="Numrodepage"/>
        <w:sz w:val="20"/>
        <w:szCs w:val="20"/>
      </w:rPr>
      <w:fldChar w:fldCharType="begin"/>
    </w:r>
    <w:r w:rsidRPr="00A75F9C">
      <w:rPr>
        <w:rStyle w:val="Numrodepage"/>
        <w:sz w:val="20"/>
        <w:szCs w:val="20"/>
      </w:rPr>
      <w:instrText xml:space="preserve">PAGE  </w:instrText>
    </w:r>
    <w:r w:rsidRPr="00A75F9C">
      <w:rPr>
        <w:rStyle w:val="Numrodepage"/>
        <w:sz w:val="20"/>
        <w:szCs w:val="20"/>
      </w:rPr>
      <w:fldChar w:fldCharType="separate"/>
    </w:r>
    <w:r w:rsidR="00EF74AA">
      <w:rPr>
        <w:rStyle w:val="Numrodepage"/>
        <w:noProof/>
        <w:sz w:val="20"/>
        <w:szCs w:val="20"/>
      </w:rPr>
      <w:t>1</w:t>
    </w:r>
    <w:r w:rsidRPr="00A75F9C">
      <w:rPr>
        <w:rStyle w:val="Numrodepage"/>
        <w:sz w:val="20"/>
        <w:szCs w:val="20"/>
      </w:rPr>
      <w:fldChar w:fldCharType="end"/>
    </w:r>
  </w:p>
  <w:p w14:paraId="15C79C82" w14:textId="77777777" w:rsidR="00A75F9C" w:rsidRDefault="00A75F9C">
    <w:pPr>
      <w:pStyle w:val="Pieddepage"/>
      <w:rPr>
        <w:sz w:val="20"/>
        <w:szCs w:val="20"/>
      </w:rPr>
    </w:pPr>
  </w:p>
  <w:p w14:paraId="25CBEE30" w14:textId="77777777" w:rsidR="00A75F9C" w:rsidRPr="00A6104B" w:rsidRDefault="00A75F9C">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F9F7" w14:textId="77777777" w:rsidR="00240460" w:rsidRDefault="00240460" w:rsidP="00C83FF8">
      <w:r>
        <w:separator/>
      </w:r>
    </w:p>
  </w:footnote>
  <w:footnote w:type="continuationSeparator" w:id="0">
    <w:p w14:paraId="6C6AE85E" w14:textId="77777777" w:rsidR="00240460" w:rsidRDefault="00240460" w:rsidP="00C83FF8">
      <w:r>
        <w:continuationSeparator/>
      </w:r>
    </w:p>
  </w:footnote>
  <w:footnote w:id="1">
    <w:p w14:paraId="06B6C4DB" w14:textId="29CFDD96" w:rsidR="008C0A4A" w:rsidRPr="00E32115" w:rsidRDefault="008C0A4A" w:rsidP="00514B65">
      <w:pPr>
        <w:pStyle w:val="Notedebasdepage"/>
        <w:jc w:val="both"/>
        <w:rPr>
          <w:sz w:val="22"/>
          <w:szCs w:val="22"/>
          <w:lang w:val="fr-CA"/>
        </w:rPr>
      </w:pPr>
      <w:r w:rsidRPr="00E32115">
        <w:rPr>
          <w:rStyle w:val="Appelnotedebasdep"/>
          <w:sz w:val="22"/>
          <w:szCs w:val="22"/>
        </w:rPr>
        <w:footnoteRef/>
      </w:r>
      <w:r w:rsidRPr="00E32115">
        <w:rPr>
          <w:sz w:val="22"/>
          <w:szCs w:val="22"/>
        </w:rPr>
        <w:t xml:space="preserve"> </w:t>
      </w:r>
      <w:r w:rsidR="00E32115" w:rsidRPr="00E32115">
        <w:rPr>
          <w:sz w:val="22"/>
          <w:szCs w:val="22"/>
        </w:rPr>
        <w:t xml:space="preserve">PA </w:t>
      </w:r>
      <w:proofErr w:type="spellStart"/>
      <w:r w:rsidRPr="00E32115">
        <w:rPr>
          <w:color w:val="000000" w:themeColor="text1"/>
          <w:sz w:val="22"/>
          <w:szCs w:val="22"/>
          <w:lang w:val="fr-CA"/>
        </w:rPr>
        <w:t>Fenet</w:t>
      </w:r>
      <w:proofErr w:type="spellEnd"/>
      <w:r w:rsidRPr="00E32115">
        <w:rPr>
          <w:sz w:val="22"/>
          <w:szCs w:val="22"/>
          <w:lang w:val="fr-CA"/>
        </w:rPr>
        <w:t>,</w:t>
      </w:r>
      <w:r w:rsidR="00E32115" w:rsidRPr="00E32115">
        <w:rPr>
          <w:sz w:val="22"/>
          <w:szCs w:val="22"/>
          <w:lang w:val="fr-CA"/>
        </w:rPr>
        <w:t xml:space="preserve"> </w:t>
      </w:r>
      <w:r w:rsidRPr="00E32115">
        <w:rPr>
          <w:i/>
          <w:sz w:val="22"/>
          <w:szCs w:val="22"/>
          <w:lang w:val="fr-CA"/>
        </w:rPr>
        <w:t>Recueil complet des travaux préparatoires du Code civil</w:t>
      </w:r>
      <w:r w:rsidRPr="00E32115">
        <w:rPr>
          <w:sz w:val="22"/>
          <w:szCs w:val="22"/>
          <w:lang w:val="fr-CA"/>
        </w:rPr>
        <w:t>, t 7, Paris, Videcoq, 1836 aux pp 637-638.</w:t>
      </w:r>
    </w:p>
  </w:footnote>
  <w:footnote w:id="2">
    <w:p w14:paraId="1D5BA4D7" w14:textId="6EADC058" w:rsidR="008C0A4A" w:rsidRPr="00E32115" w:rsidRDefault="008C0A4A" w:rsidP="00514B65">
      <w:pPr>
        <w:jc w:val="both"/>
        <w:rPr>
          <w:lang w:val="fr-CA"/>
        </w:rPr>
      </w:pPr>
      <w:r w:rsidRPr="00E32115">
        <w:rPr>
          <w:rStyle w:val="Appelnotedebasdep"/>
        </w:rPr>
        <w:footnoteRef/>
      </w:r>
      <w:r w:rsidRPr="00E32115">
        <w:t xml:space="preserve"> Yan</w:t>
      </w:r>
      <w:r w:rsidR="00E32115" w:rsidRPr="00E32115">
        <w:t xml:space="preserve"> Thomas,</w:t>
      </w:r>
      <w:r w:rsidRPr="00E32115">
        <w:t xml:space="preserve"> « Les artifices de la vérité en droit commun médiéval » (2005) 175–176 L'Homme 113.</w:t>
      </w:r>
    </w:p>
  </w:footnote>
  <w:footnote w:id="3">
    <w:p w14:paraId="4F7585AB" w14:textId="32E9D9E5" w:rsidR="0007445A" w:rsidRPr="00E32115" w:rsidRDefault="0007445A" w:rsidP="00514B65">
      <w:pPr>
        <w:pStyle w:val="Notedebasdepage"/>
        <w:jc w:val="both"/>
        <w:rPr>
          <w:sz w:val="22"/>
          <w:szCs w:val="22"/>
          <w:lang w:val="fr-CA"/>
        </w:rPr>
      </w:pPr>
      <w:r w:rsidRPr="00E32115">
        <w:rPr>
          <w:rStyle w:val="Appelnotedebasdep"/>
          <w:sz w:val="22"/>
          <w:szCs w:val="22"/>
        </w:rPr>
        <w:footnoteRef/>
      </w:r>
      <w:r w:rsidRPr="00E32115">
        <w:rPr>
          <w:sz w:val="22"/>
          <w:szCs w:val="22"/>
        </w:rPr>
        <w:t xml:space="preserve"> </w:t>
      </w:r>
      <w:r w:rsidR="00E32115" w:rsidRPr="00E32115">
        <w:rPr>
          <w:sz w:val="22"/>
          <w:szCs w:val="22"/>
        </w:rPr>
        <w:t xml:space="preserve">Voir par ex A-T </w:t>
      </w:r>
      <w:proofErr w:type="spellStart"/>
      <w:r w:rsidR="00E32115" w:rsidRPr="00E32115">
        <w:rPr>
          <w:sz w:val="22"/>
          <w:szCs w:val="22"/>
        </w:rPr>
        <w:t>Desquiron</w:t>
      </w:r>
      <w:proofErr w:type="spellEnd"/>
      <w:r w:rsidR="00E32115" w:rsidRPr="00E32115">
        <w:rPr>
          <w:sz w:val="22"/>
          <w:szCs w:val="22"/>
        </w:rPr>
        <w:t xml:space="preserve"> de Saint-Agnan, </w:t>
      </w:r>
      <w:r w:rsidRPr="00E32115">
        <w:rPr>
          <w:i/>
          <w:sz w:val="22"/>
          <w:szCs w:val="22"/>
        </w:rPr>
        <w:t xml:space="preserve">Traité de la mort civile en France, </w:t>
      </w:r>
      <w:r w:rsidRPr="00E32115">
        <w:rPr>
          <w:sz w:val="22"/>
          <w:szCs w:val="22"/>
        </w:rPr>
        <w:t xml:space="preserve">Chez </w:t>
      </w:r>
      <w:proofErr w:type="spellStart"/>
      <w:r w:rsidRPr="00E32115">
        <w:rPr>
          <w:sz w:val="22"/>
          <w:szCs w:val="22"/>
        </w:rPr>
        <w:t>Guien</w:t>
      </w:r>
      <w:proofErr w:type="spellEnd"/>
      <w:r w:rsidRPr="00E32115">
        <w:rPr>
          <w:sz w:val="22"/>
          <w:szCs w:val="22"/>
        </w:rPr>
        <w:t>, Paris, 1822 à la p </w:t>
      </w:r>
      <w:proofErr w:type="gramStart"/>
      <w:r w:rsidRPr="00E32115">
        <w:rPr>
          <w:sz w:val="22"/>
          <w:szCs w:val="22"/>
        </w:rPr>
        <w:t>20;</w:t>
      </w:r>
      <w:proofErr w:type="gramEnd"/>
      <w:r w:rsidRPr="00E32115">
        <w:rPr>
          <w:sz w:val="22"/>
          <w:szCs w:val="22"/>
        </w:rPr>
        <w:t xml:space="preserve"> Richer, François. </w:t>
      </w:r>
      <w:r w:rsidRPr="00E32115">
        <w:rPr>
          <w:i/>
          <w:sz w:val="22"/>
          <w:szCs w:val="22"/>
        </w:rPr>
        <w:t>Traité de la mort civile</w:t>
      </w:r>
      <w:r w:rsidRPr="00E32115">
        <w:rPr>
          <w:sz w:val="22"/>
          <w:szCs w:val="22"/>
        </w:rPr>
        <w:t>, Paris, Chez Durand, 1755 à la p 79.</w:t>
      </w:r>
    </w:p>
  </w:footnote>
  <w:footnote w:id="4">
    <w:p w14:paraId="6008152E" w14:textId="003D7C07" w:rsidR="009D5B03" w:rsidRPr="00E32115" w:rsidRDefault="009D5B03" w:rsidP="00514B65">
      <w:pPr>
        <w:pStyle w:val="Notedebasdepage"/>
        <w:jc w:val="both"/>
        <w:rPr>
          <w:sz w:val="22"/>
          <w:szCs w:val="22"/>
          <w:lang w:val="fr-CA"/>
        </w:rPr>
      </w:pPr>
      <w:r w:rsidRPr="00E32115">
        <w:rPr>
          <w:rStyle w:val="Appelnotedebasdep"/>
          <w:sz w:val="22"/>
          <w:szCs w:val="22"/>
        </w:rPr>
        <w:footnoteRef/>
      </w:r>
      <w:r w:rsidRPr="00E32115">
        <w:rPr>
          <w:sz w:val="22"/>
          <w:szCs w:val="22"/>
        </w:rPr>
        <w:t xml:space="preserve"> </w:t>
      </w:r>
      <w:r w:rsidR="00E32115" w:rsidRPr="00E32115">
        <w:rPr>
          <w:sz w:val="22"/>
          <w:szCs w:val="22"/>
        </w:rPr>
        <w:t xml:space="preserve">A-T </w:t>
      </w:r>
      <w:proofErr w:type="spellStart"/>
      <w:r w:rsidRPr="00E32115">
        <w:rPr>
          <w:sz w:val="22"/>
          <w:szCs w:val="22"/>
        </w:rPr>
        <w:t>Desquiron</w:t>
      </w:r>
      <w:proofErr w:type="spellEnd"/>
      <w:r w:rsidRPr="00E32115">
        <w:rPr>
          <w:sz w:val="22"/>
          <w:szCs w:val="22"/>
        </w:rPr>
        <w:t xml:space="preserve"> de Saint-Agnan, </w:t>
      </w:r>
      <w:r w:rsidRPr="00E32115">
        <w:rPr>
          <w:i/>
          <w:sz w:val="22"/>
          <w:szCs w:val="22"/>
        </w:rPr>
        <w:t xml:space="preserve">Traité de la mort civile en France, </w:t>
      </w:r>
      <w:r w:rsidRPr="00E32115">
        <w:rPr>
          <w:sz w:val="22"/>
          <w:szCs w:val="22"/>
        </w:rPr>
        <w:t xml:space="preserve">Chez </w:t>
      </w:r>
      <w:proofErr w:type="spellStart"/>
      <w:r w:rsidRPr="00E32115">
        <w:rPr>
          <w:sz w:val="22"/>
          <w:szCs w:val="22"/>
        </w:rPr>
        <w:t>Guien</w:t>
      </w:r>
      <w:proofErr w:type="spellEnd"/>
      <w:r w:rsidRPr="00E32115">
        <w:rPr>
          <w:sz w:val="22"/>
          <w:szCs w:val="22"/>
        </w:rPr>
        <w:t>, Paris, 1822 à la p 279.</w:t>
      </w:r>
    </w:p>
  </w:footnote>
  <w:footnote w:id="5">
    <w:p w14:paraId="1D9E863B" w14:textId="708351B7" w:rsidR="00E32115" w:rsidRPr="00E32115" w:rsidRDefault="00E32115" w:rsidP="00E32115">
      <w:pPr>
        <w:jc w:val="both"/>
        <w:rPr>
          <w:lang w:val="fr-CA"/>
        </w:rPr>
      </w:pPr>
      <w:r w:rsidRPr="00E32115">
        <w:rPr>
          <w:rStyle w:val="Appelnotedebasdep"/>
        </w:rPr>
        <w:footnoteRef/>
      </w:r>
      <w:r w:rsidRPr="00E32115">
        <w:t xml:space="preserve"> </w:t>
      </w:r>
      <w:r w:rsidRPr="00E32115">
        <w:rPr>
          <w:lang w:val="fr-CA"/>
        </w:rPr>
        <w:t xml:space="preserve">Giorgio </w:t>
      </w:r>
      <w:proofErr w:type="spellStart"/>
      <w:r w:rsidRPr="00E32115">
        <w:rPr>
          <w:lang w:val="fr-CA"/>
        </w:rPr>
        <w:t>Agamben</w:t>
      </w:r>
      <w:proofErr w:type="spellEnd"/>
      <w:r w:rsidRPr="00E32115">
        <w:rPr>
          <w:lang w:val="fr-CA"/>
        </w:rPr>
        <w:t>,</w:t>
      </w:r>
      <w:r w:rsidRPr="00E32115">
        <w:rPr>
          <w:i/>
          <w:lang w:val="fr-CA"/>
        </w:rPr>
        <w:t xml:space="preserve"> Homo </w:t>
      </w:r>
      <w:proofErr w:type="spellStart"/>
      <w:r w:rsidRPr="00E32115">
        <w:rPr>
          <w:i/>
          <w:lang w:val="fr-CA"/>
        </w:rPr>
        <w:t>sacer</w:t>
      </w:r>
      <w:proofErr w:type="spellEnd"/>
      <w:r w:rsidRPr="00E32115">
        <w:rPr>
          <w:i/>
          <w:lang w:val="fr-CA"/>
        </w:rPr>
        <w:t> </w:t>
      </w:r>
      <w:r w:rsidRPr="00E32115">
        <w:rPr>
          <w:lang w:val="fr-CA"/>
        </w:rPr>
        <w:t>:</w:t>
      </w:r>
      <w:r w:rsidRPr="00E32115">
        <w:rPr>
          <w:i/>
          <w:lang w:val="fr-CA"/>
        </w:rPr>
        <w:t xml:space="preserve"> le pouvoir souverain et la vie nue,</w:t>
      </w:r>
      <w:r w:rsidRPr="00E32115">
        <w:rPr>
          <w:lang w:val="fr-CA"/>
        </w:rPr>
        <w:t xml:space="preserve"> t 1, traduit par </w:t>
      </w:r>
      <w:proofErr w:type="spellStart"/>
      <w:r w:rsidRPr="00E32115">
        <w:rPr>
          <w:lang w:val="fr-CA"/>
        </w:rPr>
        <w:t>Marilène</w:t>
      </w:r>
      <w:proofErr w:type="spellEnd"/>
      <w:r w:rsidRPr="00E32115">
        <w:rPr>
          <w:lang w:val="fr-CA"/>
        </w:rPr>
        <w:t xml:space="preserve"> Raiola, Paris, Éditions du Seuil, 1997.</w:t>
      </w:r>
    </w:p>
  </w:footnote>
  <w:footnote w:id="6">
    <w:p w14:paraId="01E60F81" w14:textId="19C23C2C" w:rsidR="009D5B03" w:rsidRPr="004D6EAD" w:rsidRDefault="009D5B03" w:rsidP="00514B65">
      <w:pPr>
        <w:pStyle w:val="Notedebasdepage"/>
        <w:jc w:val="both"/>
        <w:rPr>
          <w:sz w:val="22"/>
          <w:szCs w:val="22"/>
          <w:lang w:val="en-US"/>
        </w:rPr>
      </w:pPr>
      <w:r w:rsidRPr="00E32115">
        <w:rPr>
          <w:rStyle w:val="Appelnotedebasdep"/>
          <w:sz w:val="22"/>
          <w:szCs w:val="22"/>
        </w:rPr>
        <w:footnoteRef/>
      </w:r>
      <w:r w:rsidRPr="004D6EAD">
        <w:rPr>
          <w:sz w:val="22"/>
          <w:szCs w:val="22"/>
          <w:lang w:val="en-US"/>
        </w:rPr>
        <w:t xml:space="preserve"> Voir par ex </w:t>
      </w:r>
      <w:r w:rsidR="00E32115" w:rsidRPr="004D6EAD">
        <w:rPr>
          <w:sz w:val="22"/>
          <w:szCs w:val="22"/>
          <w:lang w:val="en-US"/>
        </w:rPr>
        <w:t>Colin Dayan,</w:t>
      </w:r>
      <w:r w:rsidRPr="004D6EAD">
        <w:rPr>
          <w:sz w:val="22"/>
          <w:szCs w:val="22"/>
          <w:lang w:val="en-US"/>
        </w:rPr>
        <w:t xml:space="preserve"> </w:t>
      </w:r>
      <w:r w:rsidRPr="004D6EAD">
        <w:rPr>
          <w:i/>
          <w:sz w:val="22"/>
          <w:szCs w:val="22"/>
          <w:lang w:val="en-US"/>
        </w:rPr>
        <w:t>The Law Is a White Dog: How Legal Rituals Make and Unmake Persons</w:t>
      </w:r>
      <w:r w:rsidRPr="004D6EAD">
        <w:rPr>
          <w:sz w:val="22"/>
          <w:szCs w:val="22"/>
          <w:lang w:val="en-US"/>
        </w:rPr>
        <w:t xml:space="preserve">, </w:t>
      </w:r>
      <w:r w:rsidRPr="004D6EAD">
        <w:rPr>
          <w:color w:val="000000" w:themeColor="text1"/>
          <w:sz w:val="22"/>
          <w:szCs w:val="22"/>
          <w:lang w:val="en-US"/>
        </w:rPr>
        <w:t xml:space="preserve">Princeton (NJ), </w:t>
      </w:r>
      <w:r w:rsidRPr="004D6EAD">
        <w:rPr>
          <w:sz w:val="22"/>
          <w:szCs w:val="22"/>
          <w:lang w:val="en-US"/>
        </w:rPr>
        <w:t>Princeton University Pres, 2011.</w:t>
      </w:r>
    </w:p>
  </w:footnote>
  <w:footnote w:id="7">
    <w:p w14:paraId="33CBC758" w14:textId="04180896" w:rsidR="00AE62AB" w:rsidRPr="00E32115" w:rsidRDefault="00AE62AB" w:rsidP="00514B65">
      <w:pPr>
        <w:jc w:val="both"/>
        <w:rPr>
          <w:lang w:val="fr-CA"/>
        </w:rPr>
      </w:pPr>
      <w:r w:rsidRPr="00E32115">
        <w:rPr>
          <w:rStyle w:val="Appelnotedebasdep"/>
        </w:rPr>
        <w:footnoteRef/>
      </w:r>
      <w:r w:rsidRPr="00E32115">
        <w:t xml:space="preserve"> </w:t>
      </w:r>
      <w:r w:rsidR="00E32115" w:rsidRPr="00E32115">
        <w:t>Pascal Bastien,</w:t>
      </w:r>
      <w:r w:rsidRPr="00E32115">
        <w:t xml:space="preserve"> « Le greffier en tant qu’exécuteur : parole rituelle et mort sans cadavre (Paris, XVIIe-XVIIIe siècles) » dans Olivier Poncet, Isabelle </w:t>
      </w:r>
      <w:proofErr w:type="spellStart"/>
      <w:r w:rsidRPr="00E32115">
        <w:t>Storez-Brancourt</w:t>
      </w:r>
      <w:proofErr w:type="spellEnd"/>
      <w:r w:rsidRPr="00E32115">
        <w:t xml:space="preserve">, </w:t>
      </w:r>
      <w:proofErr w:type="spellStart"/>
      <w:r w:rsidRPr="00E32115">
        <w:t>dir</w:t>
      </w:r>
      <w:proofErr w:type="spellEnd"/>
      <w:r w:rsidRPr="00E32115">
        <w:t xml:space="preserve">, </w:t>
      </w:r>
      <w:r w:rsidRPr="00E32115">
        <w:rPr>
          <w:i/>
        </w:rPr>
        <w:t>Une histoire de la mémoire judiciaire, Paris, École Nationale des Chartes</w:t>
      </w:r>
      <w:r w:rsidRPr="00E32115">
        <w:t xml:space="preserve">, </w:t>
      </w:r>
      <w:r w:rsidR="00192D4E" w:rsidRPr="00E32115">
        <w:t>2009, 93</w:t>
      </w:r>
      <w:r w:rsidRPr="00E32115">
        <w:t>.</w:t>
      </w:r>
    </w:p>
  </w:footnote>
  <w:footnote w:id="8">
    <w:p w14:paraId="6761D17D" w14:textId="08EBB288" w:rsidR="00652B65" w:rsidRPr="004D6EAD" w:rsidRDefault="00652B65" w:rsidP="00514B65">
      <w:pPr>
        <w:pStyle w:val="Notedebasdepage"/>
        <w:jc w:val="both"/>
        <w:rPr>
          <w:sz w:val="22"/>
          <w:szCs w:val="22"/>
          <w:lang w:val="en-US"/>
        </w:rPr>
      </w:pPr>
      <w:r w:rsidRPr="00E32115">
        <w:rPr>
          <w:rStyle w:val="Appelnotedebasdep"/>
          <w:sz w:val="22"/>
          <w:szCs w:val="22"/>
        </w:rPr>
        <w:footnoteRef/>
      </w:r>
      <w:r w:rsidRPr="004D6EAD">
        <w:rPr>
          <w:sz w:val="22"/>
          <w:szCs w:val="22"/>
          <w:lang w:val="en-US"/>
        </w:rPr>
        <w:t xml:space="preserve"> </w:t>
      </w:r>
      <w:r w:rsidR="00E32115" w:rsidRPr="004D6EAD">
        <w:rPr>
          <w:sz w:val="22"/>
          <w:szCs w:val="22"/>
          <w:lang w:val="en-US"/>
        </w:rPr>
        <w:t xml:space="preserve">Voir par ex </w:t>
      </w:r>
      <w:r w:rsidRPr="004D6EAD">
        <w:rPr>
          <w:sz w:val="22"/>
          <w:szCs w:val="22"/>
          <w:lang w:val="en-US"/>
        </w:rPr>
        <w:t>Costas</w:t>
      </w:r>
      <w:r w:rsidR="00E32115" w:rsidRPr="004D6EAD">
        <w:rPr>
          <w:sz w:val="22"/>
          <w:szCs w:val="22"/>
          <w:lang w:val="en-US"/>
        </w:rPr>
        <w:t xml:space="preserve"> Douzinas</w:t>
      </w:r>
      <w:r w:rsidR="00416AAC" w:rsidRPr="004D6EAD">
        <w:rPr>
          <w:sz w:val="22"/>
          <w:szCs w:val="22"/>
          <w:lang w:val="en-US"/>
        </w:rPr>
        <w:t>,</w:t>
      </w:r>
      <w:r w:rsidRPr="004D6EAD">
        <w:rPr>
          <w:sz w:val="22"/>
          <w:szCs w:val="22"/>
          <w:lang w:val="en-US"/>
        </w:rPr>
        <w:t xml:space="preserve"> </w:t>
      </w:r>
      <w:r w:rsidRPr="004D6EAD">
        <w:rPr>
          <w:i/>
          <w:sz w:val="22"/>
          <w:szCs w:val="22"/>
          <w:lang w:val="en-US"/>
        </w:rPr>
        <w:t>The Radical Philosophy of Rights,</w:t>
      </w:r>
      <w:r w:rsidRPr="004D6EAD">
        <w:rPr>
          <w:sz w:val="22"/>
          <w:szCs w:val="22"/>
          <w:lang w:val="en-US"/>
        </w:rPr>
        <w:t xml:space="preserve"> Abingdon, Routledge, 2019.</w:t>
      </w:r>
    </w:p>
  </w:footnote>
  <w:footnote w:id="9">
    <w:p w14:paraId="128EEA01" w14:textId="03890AA9" w:rsidR="00E32115" w:rsidRPr="004D6EAD" w:rsidRDefault="00E32115" w:rsidP="00416AAC">
      <w:pPr>
        <w:jc w:val="both"/>
        <w:rPr>
          <w:rFonts w:eastAsia="Times New Roman"/>
          <w:i/>
          <w:color w:val="000000" w:themeColor="text1"/>
          <w:lang w:val="en-US" w:eastAsia="fr-FR"/>
        </w:rPr>
      </w:pPr>
      <w:r w:rsidRPr="00E32115">
        <w:rPr>
          <w:rStyle w:val="Appelnotedebasdep"/>
        </w:rPr>
        <w:footnoteRef/>
      </w:r>
      <w:r w:rsidRPr="004D6EAD">
        <w:rPr>
          <w:lang w:val="en-US"/>
        </w:rPr>
        <w:t xml:space="preserve"> Voir notamment Raluca Andreescu, « </w:t>
      </w:r>
      <w:r w:rsidRPr="004D6EAD">
        <w:rPr>
          <w:rFonts w:eastAsia="Times New Roman"/>
          <w:lang w:val="en-US" w:eastAsia="fr-FR"/>
        </w:rPr>
        <w:t xml:space="preserve">“Nobody gets out alive. This place just a big coffin”: On Death and Dying in American Prisons » (2017) 29:1 American, British and Canadian Studies Journal 65; </w:t>
      </w:r>
      <w:r w:rsidRPr="004D6EAD">
        <w:rPr>
          <w:rFonts w:eastAsia="Times New Roman"/>
          <w:color w:val="000000" w:themeColor="text1"/>
          <w:lang w:val="en-US" w:eastAsia="fr-FR"/>
        </w:rPr>
        <w:t xml:space="preserve">CalvinJohn Nagel Smiley, </w:t>
      </w:r>
      <w:r w:rsidRPr="004D6EAD">
        <w:rPr>
          <w:rFonts w:eastAsia="Times New Roman"/>
          <w:i/>
          <w:color w:val="000000" w:themeColor="text1"/>
          <w:lang w:val="en-US" w:eastAsia="fr-FR"/>
        </w:rPr>
        <w:t>Existing But Not Living: Neo-Civil Death And The Carceral State</w:t>
      </w:r>
      <w:r w:rsidRPr="004D6EAD">
        <w:rPr>
          <w:rFonts w:eastAsia="Times New Roman"/>
          <w:color w:val="000000" w:themeColor="text1"/>
          <w:lang w:val="en-US" w:eastAsia="fr-FR"/>
        </w:rPr>
        <w:t xml:space="preserve">, thèse de doctorat en sociologie, City Univesity of New York, 2014, en ligne : </w:t>
      </w:r>
      <w:r w:rsidRPr="004D6EAD">
        <w:rPr>
          <w:rFonts w:eastAsia="Times New Roman"/>
          <w:i/>
          <w:color w:val="000000" w:themeColor="text1"/>
          <w:lang w:val="en-US" w:eastAsia="fr-FR"/>
        </w:rPr>
        <w:t>CUNY Academic Works</w:t>
      </w:r>
      <w:r w:rsidR="00496468" w:rsidRPr="004D6EAD">
        <w:rPr>
          <w:rFonts w:eastAsia="Times New Roman"/>
          <w:i/>
          <w:color w:val="000000" w:themeColor="text1"/>
          <w:lang w:val="en-US" w:eastAsia="fr-FR"/>
        </w:rPr>
        <w:t xml:space="preserve"> </w:t>
      </w:r>
      <w:r w:rsidR="00496468" w:rsidRPr="004D6EAD">
        <w:rPr>
          <w:rFonts w:eastAsia="Times New Roman"/>
          <w:color w:val="000000" w:themeColor="text1"/>
          <w:lang w:val="en-US" w:eastAsia="fr-FR"/>
        </w:rPr>
        <w:t>&lt;https://academicworks.cuny.edu</w:t>
      </w:r>
      <w:r w:rsidRPr="004D6EAD">
        <w:rPr>
          <w:rFonts w:eastAsia="Times New Roman"/>
          <w:color w:val="000000" w:themeColor="text1"/>
          <w:lang w:val="en-US" w:eastAsia="fr-FR"/>
        </w:rPr>
        <w:t>&gt;.</w:t>
      </w:r>
    </w:p>
    <w:p w14:paraId="59C15843" w14:textId="06D4F415" w:rsidR="00E32115" w:rsidRPr="004D6EAD" w:rsidRDefault="00E32115">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E31C" w14:textId="674A9307" w:rsidR="00881EA6" w:rsidRPr="00E45C0B" w:rsidRDefault="00881EA6" w:rsidP="00645F5D">
    <w:pPr>
      <w:jc w:val="right"/>
      <w:rPr>
        <w:rFonts w:eastAsia="Times New Roman"/>
        <w:sz w:val="24"/>
        <w:szCs w:val="24"/>
        <w:u w:val="single"/>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7A9A"/>
    <w:multiLevelType w:val="hybridMultilevel"/>
    <w:tmpl w:val="8FFE6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D47C8A"/>
    <w:multiLevelType w:val="hybridMultilevel"/>
    <w:tmpl w:val="0A5022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2138C"/>
    <w:multiLevelType w:val="hybridMultilevel"/>
    <w:tmpl w:val="B2DE8E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74204"/>
    <w:multiLevelType w:val="hybridMultilevel"/>
    <w:tmpl w:val="904E6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0D6A4A"/>
    <w:multiLevelType w:val="hybridMultilevel"/>
    <w:tmpl w:val="867E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9567574">
    <w:abstractNumId w:val="1"/>
  </w:num>
  <w:num w:numId="2" w16cid:durableId="493422755">
    <w:abstractNumId w:val="2"/>
  </w:num>
  <w:num w:numId="3" w16cid:durableId="797533346">
    <w:abstractNumId w:val="4"/>
  </w:num>
  <w:num w:numId="4" w16cid:durableId="196629225">
    <w:abstractNumId w:val="0"/>
  </w:num>
  <w:num w:numId="5" w16cid:durableId="691883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A0"/>
    <w:rsid w:val="000009EA"/>
    <w:rsid w:val="00003687"/>
    <w:rsid w:val="00012576"/>
    <w:rsid w:val="000149A8"/>
    <w:rsid w:val="00020EEF"/>
    <w:rsid w:val="00020F95"/>
    <w:rsid w:val="00021DE0"/>
    <w:rsid w:val="00033597"/>
    <w:rsid w:val="00040122"/>
    <w:rsid w:val="00040252"/>
    <w:rsid w:val="000579A5"/>
    <w:rsid w:val="0007445A"/>
    <w:rsid w:val="00082AF5"/>
    <w:rsid w:val="0008707E"/>
    <w:rsid w:val="00090101"/>
    <w:rsid w:val="00094740"/>
    <w:rsid w:val="000A632A"/>
    <w:rsid w:val="000B273D"/>
    <w:rsid w:val="000C1D08"/>
    <w:rsid w:val="000D1E94"/>
    <w:rsid w:val="000D361D"/>
    <w:rsid w:val="000E20A1"/>
    <w:rsid w:val="000E654D"/>
    <w:rsid w:val="000F0FC9"/>
    <w:rsid w:val="001003E1"/>
    <w:rsid w:val="00103BD3"/>
    <w:rsid w:val="001150F9"/>
    <w:rsid w:val="0011548B"/>
    <w:rsid w:val="0011662D"/>
    <w:rsid w:val="00124EA3"/>
    <w:rsid w:val="001272FD"/>
    <w:rsid w:val="00144B20"/>
    <w:rsid w:val="0015203F"/>
    <w:rsid w:val="0015789A"/>
    <w:rsid w:val="00157F8F"/>
    <w:rsid w:val="00166EEA"/>
    <w:rsid w:val="001700E6"/>
    <w:rsid w:val="00177541"/>
    <w:rsid w:val="0018495D"/>
    <w:rsid w:val="00190FA7"/>
    <w:rsid w:val="00192D4E"/>
    <w:rsid w:val="001962AE"/>
    <w:rsid w:val="001B24FF"/>
    <w:rsid w:val="001C17A4"/>
    <w:rsid w:val="001C29DF"/>
    <w:rsid w:val="001C4BAB"/>
    <w:rsid w:val="001D05BE"/>
    <w:rsid w:val="001E789D"/>
    <w:rsid w:val="001F06FC"/>
    <w:rsid w:val="001F4CAE"/>
    <w:rsid w:val="0020477B"/>
    <w:rsid w:val="00205C13"/>
    <w:rsid w:val="00226A3C"/>
    <w:rsid w:val="00231F60"/>
    <w:rsid w:val="00232385"/>
    <w:rsid w:val="00240460"/>
    <w:rsid w:val="0024262E"/>
    <w:rsid w:val="00257349"/>
    <w:rsid w:val="002629F4"/>
    <w:rsid w:val="00263814"/>
    <w:rsid w:val="00277F87"/>
    <w:rsid w:val="00291136"/>
    <w:rsid w:val="002941E5"/>
    <w:rsid w:val="002A0D3F"/>
    <w:rsid w:val="002B0685"/>
    <w:rsid w:val="002B261C"/>
    <w:rsid w:val="002B3F78"/>
    <w:rsid w:val="002C5FF5"/>
    <w:rsid w:val="002D6B6A"/>
    <w:rsid w:val="002E03A0"/>
    <w:rsid w:val="002E0DAB"/>
    <w:rsid w:val="002E7A33"/>
    <w:rsid w:val="002F5BF3"/>
    <w:rsid w:val="00310FB1"/>
    <w:rsid w:val="00326F9C"/>
    <w:rsid w:val="00331D50"/>
    <w:rsid w:val="00333E32"/>
    <w:rsid w:val="00340923"/>
    <w:rsid w:val="00352EC0"/>
    <w:rsid w:val="00356D04"/>
    <w:rsid w:val="003635F3"/>
    <w:rsid w:val="003742D8"/>
    <w:rsid w:val="00383792"/>
    <w:rsid w:val="00386241"/>
    <w:rsid w:val="00386513"/>
    <w:rsid w:val="00386AC0"/>
    <w:rsid w:val="0038762A"/>
    <w:rsid w:val="003914A2"/>
    <w:rsid w:val="00397A5F"/>
    <w:rsid w:val="003A28BE"/>
    <w:rsid w:val="003E0A95"/>
    <w:rsid w:val="003E0CD2"/>
    <w:rsid w:val="003E3A3D"/>
    <w:rsid w:val="003E7A96"/>
    <w:rsid w:val="003F00B3"/>
    <w:rsid w:val="003F5582"/>
    <w:rsid w:val="00416AAC"/>
    <w:rsid w:val="00430423"/>
    <w:rsid w:val="00432BF6"/>
    <w:rsid w:val="00446B53"/>
    <w:rsid w:val="00457604"/>
    <w:rsid w:val="00462224"/>
    <w:rsid w:val="004641FD"/>
    <w:rsid w:val="00470034"/>
    <w:rsid w:val="00475737"/>
    <w:rsid w:val="00482991"/>
    <w:rsid w:val="00486B4A"/>
    <w:rsid w:val="00487502"/>
    <w:rsid w:val="00496468"/>
    <w:rsid w:val="004B407E"/>
    <w:rsid w:val="004D358F"/>
    <w:rsid w:val="004D3EE2"/>
    <w:rsid w:val="004D5483"/>
    <w:rsid w:val="004D61E7"/>
    <w:rsid w:val="004D66F9"/>
    <w:rsid w:val="004D6EAD"/>
    <w:rsid w:val="004E45D8"/>
    <w:rsid w:val="004F065A"/>
    <w:rsid w:val="00510CF0"/>
    <w:rsid w:val="00514B65"/>
    <w:rsid w:val="005361DD"/>
    <w:rsid w:val="00542F64"/>
    <w:rsid w:val="0054320B"/>
    <w:rsid w:val="00551BF6"/>
    <w:rsid w:val="005521A3"/>
    <w:rsid w:val="00553DF2"/>
    <w:rsid w:val="00554C97"/>
    <w:rsid w:val="0056184E"/>
    <w:rsid w:val="00565ED9"/>
    <w:rsid w:val="005720A9"/>
    <w:rsid w:val="005732FA"/>
    <w:rsid w:val="005938CB"/>
    <w:rsid w:val="005A4F16"/>
    <w:rsid w:val="005A719C"/>
    <w:rsid w:val="005B19B9"/>
    <w:rsid w:val="005B39BA"/>
    <w:rsid w:val="005C29FD"/>
    <w:rsid w:val="005C2FD8"/>
    <w:rsid w:val="005D7E74"/>
    <w:rsid w:val="005F7085"/>
    <w:rsid w:val="006013CA"/>
    <w:rsid w:val="00606CC3"/>
    <w:rsid w:val="006443FA"/>
    <w:rsid w:val="00645F5D"/>
    <w:rsid w:val="006512B2"/>
    <w:rsid w:val="00652B65"/>
    <w:rsid w:val="00680165"/>
    <w:rsid w:val="00681687"/>
    <w:rsid w:val="00681F9A"/>
    <w:rsid w:val="006902A5"/>
    <w:rsid w:val="00694BAC"/>
    <w:rsid w:val="00695B4E"/>
    <w:rsid w:val="006A5438"/>
    <w:rsid w:val="006B09D5"/>
    <w:rsid w:val="006B21D6"/>
    <w:rsid w:val="006B40D2"/>
    <w:rsid w:val="006D1235"/>
    <w:rsid w:val="006E2409"/>
    <w:rsid w:val="006E77E8"/>
    <w:rsid w:val="006F021F"/>
    <w:rsid w:val="006F4E63"/>
    <w:rsid w:val="0070086A"/>
    <w:rsid w:val="00704100"/>
    <w:rsid w:val="00704C05"/>
    <w:rsid w:val="00713D82"/>
    <w:rsid w:val="00735010"/>
    <w:rsid w:val="007354AD"/>
    <w:rsid w:val="00735D2A"/>
    <w:rsid w:val="00745440"/>
    <w:rsid w:val="00745FDB"/>
    <w:rsid w:val="00750CB9"/>
    <w:rsid w:val="00765935"/>
    <w:rsid w:val="00772753"/>
    <w:rsid w:val="00775E36"/>
    <w:rsid w:val="00782047"/>
    <w:rsid w:val="007830CD"/>
    <w:rsid w:val="00783CCF"/>
    <w:rsid w:val="00791FF7"/>
    <w:rsid w:val="00795BCF"/>
    <w:rsid w:val="00797A4B"/>
    <w:rsid w:val="007B424C"/>
    <w:rsid w:val="007B6036"/>
    <w:rsid w:val="007B739B"/>
    <w:rsid w:val="007E2E03"/>
    <w:rsid w:val="007E4583"/>
    <w:rsid w:val="008015BD"/>
    <w:rsid w:val="00802024"/>
    <w:rsid w:val="00803EB9"/>
    <w:rsid w:val="00804DD9"/>
    <w:rsid w:val="00815260"/>
    <w:rsid w:val="00817CC4"/>
    <w:rsid w:val="008316C5"/>
    <w:rsid w:val="00834747"/>
    <w:rsid w:val="00836C34"/>
    <w:rsid w:val="00842654"/>
    <w:rsid w:val="008444F6"/>
    <w:rsid w:val="00851E0E"/>
    <w:rsid w:val="00854C9A"/>
    <w:rsid w:val="0086400B"/>
    <w:rsid w:val="00876F04"/>
    <w:rsid w:val="008809CC"/>
    <w:rsid w:val="00881EA6"/>
    <w:rsid w:val="0088387E"/>
    <w:rsid w:val="008913F4"/>
    <w:rsid w:val="008A2F21"/>
    <w:rsid w:val="008A465D"/>
    <w:rsid w:val="008A68C6"/>
    <w:rsid w:val="008C0A4A"/>
    <w:rsid w:val="008C422C"/>
    <w:rsid w:val="008C6CA6"/>
    <w:rsid w:val="008D0E0A"/>
    <w:rsid w:val="008D28A2"/>
    <w:rsid w:val="008D4EB9"/>
    <w:rsid w:val="008D78AE"/>
    <w:rsid w:val="008E11BC"/>
    <w:rsid w:val="008F38BD"/>
    <w:rsid w:val="008F4564"/>
    <w:rsid w:val="00921DE5"/>
    <w:rsid w:val="0096079B"/>
    <w:rsid w:val="00963795"/>
    <w:rsid w:val="00964907"/>
    <w:rsid w:val="00973F78"/>
    <w:rsid w:val="009926CF"/>
    <w:rsid w:val="0099366A"/>
    <w:rsid w:val="00997433"/>
    <w:rsid w:val="009A7F13"/>
    <w:rsid w:val="009C2E2A"/>
    <w:rsid w:val="009C597E"/>
    <w:rsid w:val="009C6292"/>
    <w:rsid w:val="009D3C17"/>
    <w:rsid w:val="009D5B03"/>
    <w:rsid w:val="009E5C95"/>
    <w:rsid w:val="009F2DF1"/>
    <w:rsid w:val="009F384E"/>
    <w:rsid w:val="009F4A80"/>
    <w:rsid w:val="00A0652A"/>
    <w:rsid w:val="00A136DD"/>
    <w:rsid w:val="00A15594"/>
    <w:rsid w:val="00A21124"/>
    <w:rsid w:val="00A2681F"/>
    <w:rsid w:val="00A27035"/>
    <w:rsid w:val="00A34328"/>
    <w:rsid w:val="00A35634"/>
    <w:rsid w:val="00A37518"/>
    <w:rsid w:val="00A41AB4"/>
    <w:rsid w:val="00A47FCF"/>
    <w:rsid w:val="00A549B2"/>
    <w:rsid w:val="00A6054D"/>
    <w:rsid w:val="00A6104B"/>
    <w:rsid w:val="00A6274E"/>
    <w:rsid w:val="00A71B47"/>
    <w:rsid w:val="00A74FA7"/>
    <w:rsid w:val="00A75F9C"/>
    <w:rsid w:val="00AA4B4C"/>
    <w:rsid w:val="00AA736C"/>
    <w:rsid w:val="00AB011B"/>
    <w:rsid w:val="00AB1DD4"/>
    <w:rsid w:val="00AC3525"/>
    <w:rsid w:val="00AD778B"/>
    <w:rsid w:val="00AE0DE5"/>
    <w:rsid w:val="00AE4818"/>
    <w:rsid w:val="00AE52F0"/>
    <w:rsid w:val="00AE62AB"/>
    <w:rsid w:val="00B017D3"/>
    <w:rsid w:val="00B0633B"/>
    <w:rsid w:val="00B07ACE"/>
    <w:rsid w:val="00B21EF7"/>
    <w:rsid w:val="00B311D1"/>
    <w:rsid w:val="00B3519F"/>
    <w:rsid w:val="00B45984"/>
    <w:rsid w:val="00B460B7"/>
    <w:rsid w:val="00B509BA"/>
    <w:rsid w:val="00B50D78"/>
    <w:rsid w:val="00B662D3"/>
    <w:rsid w:val="00B67C6D"/>
    <w:rsid w:val="00B7231D"/>
    <w:rsid w:val="00B86597"/>
    <w:rsid w:val="00B93747"/>
    <w:rsid w:val="00BA190B"/>
    <w:rsid w:val="00BA3A0D"/>
    <w:rsid w:val="00BA6312"/>
    <w:rsid w:val="00BB20C4"/>
    <w:rsid w:val="00BB5239"/>
    <w:rsid w:val="00BC2848"/>
    <w:rsid w:val="00BC7DAA"/>
    <w:rsid w:val="00BD0D3B"/>
    <w:rsid w:val="00BE4140"/>
    <w:rsid w:val="00BE56A4"/>
    <w:rsid w:val="00BF2B70"/>
    <w:rsid w:val="00C0482D"/>
    <w:rsid w:val="00C07DF7"/>
    <w:rsid w:val="00C10A40"/>
    <w:rsid w:val="00C14BE3"/>
    <w:rsid w:val="00C31EEB"/>
    <w:rsid w:val="00C32D47"/>
    <w:rsid w:val="00C52650"/>
    <w:rsid w:val="00C65ED2"/>
    <w:rsid w:val="00C72642"/>
    <w:rsid w:val="00C7637D"/>
    <w:rsid w:val="00C76513"/>
    <w:rsid w:val="00C83FF8"/>
    <w:rsid w:val="00C90797"/>
    <w:rsid w:val="00C911E4"/>
    <w:rsid w:val="00C96056"/>
    <w:rsid w:val="00C9744F"/>
    <w:rsid w:val="00CA3A4A"/>
    <w:rsid w:val="00CB0C1F"/>
    <w:rsid w:val="00CC4C19"/>
    <w:rsid w:val="00CC5DA3"/>
    <w:rsid w:val="00CD76D0"/>
    <w:rsid w:val="00CE5BA0"/>
    <w:rsid w:val="00CE70C1"/>
    <w:rsid w:val="00CF29FE"/>
    <w:rsid w:val="00CF388B"/>
    <w:rsid w:val="00D01420"/>
    <w:rsid w:val="00D03BD2"/>
    <w:rsid w:val="00D0701C"/>
    <w:rsid w:val="00D10D98"/>
    <w:rsid w:val="00D15946"/>
    <w:rsid w:val="00D20781"/>
    <w:rsid w:val="00D20852"/>
    <w:rsid w:val="00D2189C"/>
    <w:rsid w:val="00D24956"/>
    <w:rsid w:val="00D25B64"/>
    <w:rsid w:val="00D26A58"/>
    <w:rsid w:val="00D32C7F"/>
    <w:rsid w:val="00D32E1D"/>
    <w:rsid w:val="00D43528"/>
    <w:rsid w:val="00D47C8D"/>
    <w:rsid w:val="00D53B04"/>
    <w:rsid w:val="00D558A1"/>
    <w:rsid w:val="00D55EBF"/>
    <w:rsid w:val="00D7080D"/>
    <w:rsid w:val="00D72C84"/>
    <w:rsid w:val="00D74FC3"/>
    <w:rsid w:val="00D7543F"/>
    <w:rsid w:val="00D82D26"/>
    <w:rsid w:val="00D929F6"/>
    <w:rsid w:val="00DA5AED"/>
    <w:rsid w:val="00DB52CB"/>
    <w:rsid w:val="00DB738D"/>
    <w:rsid w:val="00DC21E1"/>
    <w:rsid w:val="00DD1D17"/>
    <w:rsid w:val="00DD50FD"/>
    <w:rsid w:val="00DE4D7D"/>
    <w:rsid w:val="00DE5F5B"/>
    <w:rsid w:val="00DF30C0"/>
    <w:rsid w:val="00E0258C"/>
    <w:rsid w:val="00E156B1"/>
    <w:rsid w:val="00E27205"/>
    <w:rsid w:val="00E32115"/>
    <w:rsid w:val="00E45C0B"/>
    <w:rsid w:val="00E5519C"/>
    <w:rsid w:val="00E5565E"/>
    <w:rsid w:val="00E55841"/>
    <w:rsid w:val="00E56665"/>
    <w:rsid w:val="00E8074A"/>
    <w:rsid w:val="00EA01FF"/>
    <w:rsid w:val="00EB3C17"/>
    <w:rsid w:val="00EB46D2"/>
    <w:rsid w:val="00EB7EFF"/>
    <w:rsid w:val="00EC3784"/>
    <w:rsid w:val="00ED20AF"/>
    <w:rsid w:val="00ED349D"/>
    <w:rsid w:val="00ED641F"/>
    <w:rsid w:val="00EE22DF"/>
    <w:rsid w:val="00EF74AA"/>
    <w:rsid w:val="00EF7A94"/>
    <w:rsid w:val="00F05C69"/>
    <w:rsid w:val="00F1334E"/>
    <w:rsid w:val="00F17A82"/>
    <w:rsid w:val="00F24007"/>
    <w:rsid w:val="00F341DF"/>
    <w:rsid w:val="00F36FC5"/>
    <w:rsid w:val="00F42818"/>
    <w:rsid w:val="00F47C38"/>
    <w:rsid w:val="00F575A5"/>
    <w:rsid w:val="00F5761E"/>
    <w:rsid w:val="00F64BFB"/>
    <w:rsid w:val="00F6772B"/>
    <w:rsid w:val="00F70763"/>
    <w:rsid w:val="00F72E7E"/>
    <w:rsid w:val="00F77AE7"/>
    <w:rsid w:val="00F87385"/>
    <w:rsid w:val="00FA6561"/>
    <w:rsid w:val="00FB1D27"/>
    <w:rsid w:val="00FB1E04"/>
    <w:rsid w:val="00FB33B1"/>
    <w:rsid w:val="00FC002B"/>
    <w:rsid w:val="00FC6A1D"/>
    <w:rsid w:val="00FD21B6"/>
    <w:rsid w:val="00FD249F"/>
    <w:rsid w:val="00FE094F"/>
    <w:rsid w:val="00FF073A"/>
    <w:rsid w:val="00FF2A78"/>
    <w:rsid w:val="00FF63EB"/>
    <w:rsid w:val="00FF6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42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09EA"/>
    <w:pPr>
      <w:ind w:left="720"/>
      <w:contextualSpacing/>
    </w:pPr>
  </w:style>
  <w:style w:type="character" w:styleId="Marquedecommentaire">
    <w:name w:val="annotation reference"/>
    <w:basedOn w:val="Policepardfaut"/>
    <w:uiPriority w:val="99"/>
    <w:semiHidden/>
    <w:unhideWhenUsed/>
    <w:rsid w:val="006902A5"/>
    <w:rPr>
      <w:sz w:val="18"/>
      <w:szCs w:val="18"/>
    </w:rPr>
  </w:style>
  <w:style w:type="paragraph" w:styleId="Commentaire">
    <w:name w:val="annotation text"/>
    <w:basedOn w:val="Normal"/>
    <w:link w:val="CommentaireCar"/>
    <w:uiPriority w:val="99"/>
    <w:semiHidden/>
    <w:unhideWhenUsed/>
    <w:rsid w:val="006902A5"/>
    <w:rPr>
      <w:sz w:val="24"/>
      <w:szCs w:val="24"/>
    </w:rPr>
  </w:style>
  <w:style w:type="character" w:customStyle="1" w:styleId="CommentaireCar">
    <w:name w:val="Commentaire Car"/>
    <w:basedOn w:val="Policepardfaut"/>
    <w:link w:val="Commentaire"/>
    <w:uiPriority w:val="99"/>
    <w:semiHidden/>
    <w:rsid w:val="006902A5"/>
    <w:rPr>
      <w:sz w:val="24"/>
      <w:szCs w:val="24"/>
    </w:rPr>
  </w:style>
  <w:style w:type="paragraph" w:styleId="Objetducommentaire">
    <w:name w:val="annotation subject"/>
    <w:basedOn w:val="Commentaire"/>
    <w:next w:val="Commentaire"/>
    <w:link w:val="ObjetducommentaireCar"/>
    <w:uiPriority w:val="99"/>
    <w:semiHidden/>
    <w:unhideWhenUsed/>
    <w:rsid w:val="006902A5"/>
    <w:rPr>
      <w:b/>
      <w:bCs/>
      <w:sz w:val="20"/>
      <w:szCs w:val="20"/>
    </w:rPr>
  </w:style>
  <w:style w:type="character" w:customStyle="1" w:styleId="ObjetducommentaireCar">
    <w:name w:val="Objet du commentaire Car"/>
    <w:basedOn w:val="CommentaireCar"/>
    <w:link w:val="Objetducommentaire"/>
    <w:uiPriority w:val="99"/>
    <w:semiHidden/>
    <w:rsid w:val="006902A5"/>
    <w:rPr>
      <w:b/>
      <w:bCs/>
      <w:sz w:val="20"/>
      <w:szCs w:val="20"/>
    </w:rPr>
  </w:style>
  <w:style w:type="paragraph" w:styleId="Textedebulles">
    <w:name w:val="Balloon Text"/>
    <w:basedOn w:val="Normal"/>
    <w:link w:val="TextedebullesCar"/>
    <w:uiPriority w:val="99"/>
    <w:semiHidden/>
    <w:unhideWhenUsed/>
    <w:rsid w:val="006902A5"/>
    <w:rPr>
      <w:sz w:val="18"/>
      <w:szCs w:val="18"/>
    </w:rPr>
  </w:style>
  <w:style w:type="character" w:customStyle="1" w:styleId="TextedebullesCar">
    <w:name w:val="Texte de bulles Car"/>
    <w:basedOn w:val="Policepardfaut"/>
    <w:link w:val="Textedebulles"/>
    <w:uiPriority w:val="99"/>
    <w:semiHidden/>
    <w:rsid w:val="006902A5"/>
    <w:rPr>
      <w:sz w:val="18"/>
      <w:szCs w:val="18"/>
    </w:rPr>
  </w:style>
  <w:style w:type="paragraph" w:styleId="Notedebasdepage">
    <w:name w:val="footnote text"/>
    <w:basedOn w:val="Normal"/>
    <w:link w:val="NotedebasdepageCar"/>
    <w:uiPriority w:val="99"/>
    <w:unhideWhenUsed/>
    <w:rsid w:val="00C83FF8"/>
    <w:rPr>
      <w:sz w:val="24"/>
      <w:szCs w:val="24"/>
    </w:rPr>
  </w:style>
  <w:style w:type="character" w:customStyle="1" w:styleId="NotedebasdepageCar">
    <w:name w:val="Note de bas de page Car"/>
    <w:basedOn w:val="Policepardfaut"/>
    <w:link w:val="Notedebasdepage"/>
    <w:uiPriority w:val="99"/>
    <w:rsid w:val="00C83FF8"/>
    <w:rPr>
      <w:sz w:val="24"/>
      <w:szCs w:val="24"/>
    </w:rPr>
  </w:style>
  <w:style w:type="character" w:styleId="Appelnotedebasdep">
    <w:name w:val="footnote reference"/>
    <w:basedOn w:val="Policepardfaut"/>
    <w:uiPriority w:val="99"/>
    <w:unhideWhenUsed/>
    <w:rsid w:val="00C83FF8"/>
    <w:rPr>
      <w:vertAlign w:val="superscript"/>
    </w:rPr>
  </w:style>
  <w:style w:type="paragraph" w:styleId="En-tte">
    <w:name w:val="header"/>
    <w:basedOn w:val="Normal"/>
    <w:link w:val="En-tteCar"/>
    <w:uiPriority w:val="99"/>
    <w:unhideWhenUsed/>
    <w:rsid w:val="00881EA6"/>
    <w:pPr>
      <w:tabs>
        <w:tab w:val="center" w:pos="4320"/>
        <w:tab w:val="right" w:pos="8640"/>
      </w:tabs>
    </w:pPr>
  </w:style>
  <w:style w:type="character" w:customStyle="1" w:styleId="En-tteCar">
    <w:name w:val="En-tête Car"/>
    <w:basedOn w:val="Policepardfaut"/>
    <w:link w:val="En-tte"/>
    <w:uiPriority w:val="99"/>
    <w:rsid w:val="00881EA6"/>
  </w:style>
  <w:style w:type="paragraph" w:styleId="Pieddepage">
    <w:name w:val="footer"/>
    <w:basedOn w:val="Normal"/>
    <w:link w:val="PieddepageCar"/>
    <w:uiPriority w:val="99"/>
    <w:unhideWhenUsed/>
    <w:rsid w:val="00881EA6"/>
    <w:pPr>
      <w:tabs>
        <w:tab w:val="center" w:pos="4320"/>
        <w:tab w:val="right" w:pos="8640"/>
      </w:tabs>
    </w:pPr>
  </w:style>
  <w:style w:type="character" w:customStyle="1" w:styleId="PieddepageCar">
    <w:name w:val="Pied de page Car"/>
    <w:basedOn w:val="Policepardfaut"/>
    <w:link w:val="Pieddepage"/>
    <w:uiPriority w:val="99"/>
    <w:rsid w:val="00881EA6"/>
  </w:style>
  <w:style w:type="character" w:styleId="Numrodepage">
    <w:name w:val="page number"/>
    <w:basedOn w:val="Policepardfaut"/>
    <w:uiPriority w:val="99"/>
    <w:semiHidden/>
    <w:unhideWhenUsed/>
    <w:rsid w:val="00881EA6"/>
  </w:style>
  <w:style w:type="character" w:styleId="Lienhypertexte">
    <w:name w:val="Hyperlink"/>
    <w:basedOn w:val="Policepardfaut"/>
    <w:uiPriority w:val="99"/>
    <w:semiHidden/>
    <w:unhideWhenUsed/>
    <w:rsid w:val="00B017D3"/>
    <w:rPr>
      <w:color w:val="0000FF"/>
      <w:u w:val="single"/>
    </w:rPr>
  </w:style>
  <w:style w:type="paragraph" w:styleId="Notedefin">
    <w:name w:val="endnote text"/>
    <w:basedOn w:val="Normal"/>
    <w:link w:val="NotedefinCar"/>
    <w:uiPriority w:val="99"/>
    <w:unhideWhenUsed/>
    <w:rsid w:val="00F72E7E"/>
    <w:rPr>
      <w:sz w:val="24"/>
      <w:szCs w:val="24"/>
    </w:rPr>
  </w:style>
  <w:style w:type="character" w:customStyle="1" w:styleId="NotedefinCar">
    <w:name w:val="Note de fin Car"/>
    <w:basedOn w:val="Policepardfaut"/>
    <w:link w:val="Notedefin"/>
    <w:uiPriority w:val="99"/>
    <w:rsid w:val="00F72E7E"/>
    <w:rPr>
      <w:sz w:val="24"/>
      <w:szCs w:val="24"/>
    </w:rPr>
  </w:style>
  <w:style w:type="character" w:styleId="Appeldenotedefin">
    <w:name w:val="endnote reference"/>
    <w:basedOn w:val="Policepardfaut"/>
    <w:uiPriority w:val="99"/>
    <w:unhideWhenUsed/>
    <w:rsid w:val="00F72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142">
      <w:bodyDiv w:val="1"/>
      <w:marLeft w:val="0"/>
      <w:marRight w:val="0"/>
      <w:marTop w:val="0"/>
      <w:marBottom w:val="0"/>
      <w:divBdr>
        <w:top w:val="none" w:sz="0" w:space="0" w:color="auto"/>
        <w:left w:val="none" w:sz="0" w:space="0" w:color="auto"/>
        <w:bottom w:val="none" w:sz="0" w:space="0" w:color="auto"/>
        <w:right w:val="none" w:sz="0" w:space="0" w:color="auto"/>
      </w:divBdr>
    </w:div>
    <w:div w:id="93016511">
      <w:bodyDiv w:val="1"/>
      <w:marLeft w:val="0"/>
      <w:marRight w:val="0"/>
      <w:marTop w:val="0"/>
      <w:marBottom w:val="0"/>
      <w:divBdr>
        <w:top w:val="none" w:sz="0" w:space="0" w:color="auto"/>
        <w:left w:val="none" w:sz="0" w:space="0" w:color="auto"/>
        <w:bottom w:val="none" w:sz="0" w:space="0" w:color="auto"/>
        <w:right w:val="none" w:sz="0" w:space="0" w:color="auto"/>
      </w:divBdr>
    </w:div>
    <w:div w:id="160855100">
      <w:bodyDiv w:val="1"/>
      <w:marLeft w:val="0"/>
      <w:marRight w:val="0"/>
      <w:marTop w:val="0"/>
      <w:marBottom w:val="0"/>
      <w:divBdr>
        <w:top w:val="none" w:sz="0" w:space="0" w:color="auto"/>
        <w:left w:val="none" w:sz="0" w:space="0" w:color="auto"/>
        <w:bottom w:val="none" w:sz="0" w:space="0" w:color="auto"/>
        <w:right w:val="none" w:sz="0" w:space="0" w:color="auto"/>
      </w:divBdr>
    </w:div>
    <w:div w:id="386488286">
      <w:bodyDiv w:val="1"/>
      <w:marLeft w:val="0"/>
      <w:marRight w:val="0"/>
      <w:marTop w:val="0"/>
      <w:marBottom w:val="0"/>
      <w:divBdr>
        <w:top w:val="none" w:sz="0" w:space="0" w:color="auto"/>
        <w:left w:val="none" w:sz="0" w:space="0" w:color="auto"/>
        <w:bottom w:val="none" w:sz="0" w:space="0" w:color="auto"/>
        <w:right w:val="none" w:sz="0" w:space="0" w:color="auto"/>
      </w:divBdr>
    </w:div>
    <w:div w:id="471755938">
      <w:bodyDiv w:val="1"/>
      <w:marLeft w:val="0"/>
      <w:marRight w:val="0"/>
      <w:marTop w:val="0"/>
      <w:marBottom w:val="0"/>
      <w:divBdr>
        <w:top w:val="none" w:sz="0" w:space="0" w:color="auto"/>
        <w:left w:val="none" w:sz="0" w:space="0" w:color="auto"/>
        <w:bottom w:val="none" w:sz="0" w:space="0" w:color="auto"/>
        <w:right w:val="none" w:sz="0" w:space="0" w:color="auto"/>
      </w:divBdr>
    </w:div>
    <w:div w:id="481778082">
      <w:bodyDiv w:val="1"/>
      <w:marLeft w:val="0"/>
      <w:marRight w:val="0"/>
      <w:marTop w:val="0"/>
      <w:marBottom w:val="0"/>
      <w:divBdr>
        <w:top w:val="none" w:sz="0" w:space="0" w:color="auto"/>
        <w:left w:val="none" w:sz="0" w:space="0" w:color="auto"/>
        <w:bottom w:val="none" w:sz="0" w:space="0" w:color="auto"/>
        <w:right w:val="none" w:sz="0" w:space="0" w:color="auto"/>
      </w:divBdr>
    </w:div>
    <w:div w:id="589512814">
      <w:bodyDiv w:val="1"/>
      <w:marLeft w:val="0"/>
      <w:marRight w:val="0"/>
      <w:marTop w:val="0"/>
      <w:marBottom w:val="0"/>
      <w:divBdr>
        <w:top w:val="none" w:sz="0" w:space="0" w:color="auto"/>
        <w:left w:val="none" w:sz="0" w:space="0" w:color="auto"/>
        <w:bottom w:val="none" w:sz="0" w:space="0" w:color="auto"/>
        <w:right w:val="none" w:sz="0" w:space="0" w:color="auto"/>
      </w:divBdr>
      <w:divsChild>
        <w:div w:id="693921359">
          <w:marLeft w:val="0"/>
          <w:marRight w:val="0"/>
          <w:marTop w:val="0"/>
          <w:marBottom w:val="0"/>
          <w:divBdr>
            <w:top w:val="none" w:sz="0" w:space="0" w:color="auto"/>
            <w:left w:val="none" w:sz="0" w:space="0" w:color="auto"/>
            <w:bottom w:val="none" w:sz="0" w:space="0" w:color="auto"/>
            <w:right w:val="none" w:sz="0" w:space="0" w:color="auto"/>
          </w:divBdr>
        </w:div>
        <w:div w:id="137455300">
          <w:marLeft w:val="0"/>
          <w:marRight w:val="0"/>
          <w:marTop w:val="0"/>
          <w:marBottom w:val="0"/>
          <w:divBdr>
            <w:top w:val="none" w:sz="0" w:space="0" w:color="auto"/>
            <w:left w:val="none" w:sz="0" w:space="0" w:color="auto"/>
            <w:bottom w:val="none" w:sz="0" w:space="0" w:color="auto"/>
            <w:right w:val="none" w:sz="0" w:space="0" w:color="auto"/>
          </w:divBdr>
        </w:div>
      </w:divsChild>
    </w:div>
    <w:div w:id="810485702">
      <w:bodyDiv w:val="1"/>
      <w:marLeft w:val="0"/>
      <w:marRight w:val="0"/>
      <w:marTop w:val="0"/>
      <w:marBottom w:val="0"/>
      <w:divBdr>
        <w:top w:val="none" w:sz="0" w:space="0" w:color="auto"/>
        <w:left w:val="none" w:sz="0" w:space="0" w:color="auto"/>
        <w:bottom w:val="none" w:sz="0" w:space="0" w:color="auto"/>
        <w:right w:val="none" w:sz="0" w:space="0" w:color="auto"/>
      </w:divBdr>
    </w:div>
    <w:div w:id="871964887">
      <w:bodyDiv w:val="1"/>
      <w:marLeft w:val="0"/>
      <w:marRight w:val="0"/>
      <w:marTop w:val="0"/>
      <w:marBottom w:val="0"/>
      <w:divBdr>
        <w:top w:val="none" w:sz="0" w:space="0" w:color="auto"/>
        <w:left w:val="none" w:sz="0" w:space="0" w:color="auto"/>
        <w:bottom w:val="none" w:sz="0" w:space="0" w:color="auto"/>
        <w:right w:val="none" w:sz="0" w:space="0" w:color="auto"/>
      </w:divBdr>
    </w:div>
    <w:div w:id="1063799119">
      <w:bodyDiv w:val="1"/>
      <w:marLeft w:val="0"/>
      <w:marRight w:val="0"/>
      <w:marTop w:val="0"/>
      <w:marBottom w:val="0"/>
      <w:divBdr>
        <w:top w:val="none" w:sz="0" w:space="0" w:color="auto"/>
        <w:left w:val="none" w:sz="0" w:space="0" w:color="auto"/>
        <w:bottom w:val="none" w:sz="0" w:space="0" w:color="auto"/>
        <w:right w:val="none" w:sz="0" w:space="0" w:color="auto"/>
      </w:divBdr>
    </w:div>
    <w:div w:id="1151024494">
      <w:bodyDiv w:val="1"/>
      <w:marLeft w:val="0"/>
      <w:marRight w:val="0"/>
      <w:marTop w:val="0"/>
      <w:marBottom w:val="0"/>
      <w:divBdr>
        <w:top w:val="none" w:sz="0" w:space="0" w:color="auto"/>
        <w:left w:val="none" w:sz="0" w:space="0" w:color="auto"/>
        <w:bottom w:val="none" w:sz="0" w:space="0" w:color="auto"/>
        <w:right w:val="none" w:sz="0" w:space="0" w:color="auto"/>
      </w:divBdr>
    </w:div>
    <w:div w:id="1528443313">
      <w:bodyDiv w:val="1"/>
      <w:marLeft w:val="0"/>
      <w:marRight w:val="0"/>
      <w:marTop w:val="0"/>
      <w:marBottom w:val="0"/>
      <w:divBdr>
        <w:top w:val="none" w:sz="0" w:space="0" w:color="auto"/>
        <w:left w:val="none" w:sz="0" w:space="0" w:color="auto"/>
        <w:bottom w:val="none" w:sz="0" w:space="0" w:color="auto"/>
        <w:right w:val="none" w:sz="0" w:space="0" w:color="auto"/>
      </w:divBdr>
    </w:div>
    <w:div w:id="1543055906">
      <w:bodyDiv w:val="1"/>
      <w:marLeft w:val="0"/>
      <w:marRight w:val="0"/>
      <w:marTop w:val="0"/>
      <w:marBottom w:val="0"/>
      <w:divBdr>
        <w:top w:val="none" w:sz="0" w:space="0" w:color="auto"/>
        <w:left w:val="none" w:sz="0" w:space="0" w:color="auto"/>
        <w:bottom w:val="none" w:sz="0" w:space="0" w:color="auto"/>
        <w:right w:val="none" w:sz="0" w:space="0" w:color="auto"/>
      </w:divBdr>
    </w:div>
    <w:div w:id="1977369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Gourde-Bouchard</dc:creator>
  <cp:keywords/>
  <dc:description/>
  <cp:lastModifiedBy>Florian Couveinhes</cp:lastModifiedBy>
  <cp:revision>3</cp:revision>
  <cp:lastPrinted>2019-11-29T18:40:00Z</cp:lastPrinted>
  <dcterms:created xsi:type="dcterms:W3CDTF">2024-02-01T16:03:00Z</dcterms:created>
  <dcterms:modified xsi:type="dcterms:W3CDTF">2024-02-01T16:04:00Z</dcterms:modified>
</cp:coreProperties>
</file>